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341 vom 27. Januar 2004</w:t>
      </w:r>
    </w:p>
    <w:p>
      <w:r>
        <w:t>VD Tribunal cantonal, 2004-01-27, FR</w:t>
      </w:r>
    </w:p>
    <w:p>
      <w:r>
        <w:rPr>
          <w:b/>
        </w:rPr>
        <w:t xml:space="preserve">Quelle: </w:t>
      </w:r>
      <w:r>
        <w:t>https://mcp.opencaselaw.ch/entscheid/vd_findinfo_HC___2009___341</w:t>
      </w:r>
    </w:p>
    <w:p>
      <w:r>
        <w:t>FR: VD_FINDINFO HC / 2009 / 341 du 27 janvier 2004</w:t>
      </w:r>
    </w:p>
    <w:p>
      <w:r>
        <w:t>IT: VD_FINDINFO HC / 2009 / 341 del 27 gennaio 2004</w:t>
      </w:r>
    </w:p>
    <w:p>
      <w:pPr>
        <w:pStyle w:val="Heading2"/>
      </w:pPr>
      <w:r>
        <w:t>Regeste</w:t>
      </w:r>
    </w:p>
    <w:p>
      <w:r>
        <w:t>LIBÉRATION CONDITIONNELLE | 86 CP, 485m CPP, 26 LEP, 38 al. 1 LEP</w:t>
      </w:r>
    </w:p>
    <w:p>
      <w:pPr>
        <w:pStyle w:val="Heading2"/>
      </w:pPr>
      <w:r>
        <w:t>Erwägungen</w:t>
      </w:r>
    </w:p>
    <w:p>
      <w:r>
        <w:rPr>
          <w:b/>
        </w:rPr>
        <w:t>E. 1</w:t>
      </w:r>
    </w:p>
    <w:p>
      <w:r>
        <w:t>Depuis le 1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 1.1a)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dernières conditions sont remplies en l'espèce, le recours permettant de discerner des moyens et des conclusions. b) Cela étant, il doit être déterminé si le recours a été interjeté en temps utile. Le jugement a été notifié au condamné le 2 octobre 2009. Le délai de recours a donc commencé à courir le lendemain 3 octobre (art. 132 al. 1 et 134 CPP). Il est venu à échéance le lundi 12 octobre 2009. Le recours n'a toutefois été posté que le lendemain 13 octobre. Il est donc tardif, sauf restitution de délai. Le recourant a demandé restitution du délai de recours dès le moment où il a eu connaissance que son acte n'avait pas été transmis. Ce faisant, il a procédé conformément à l'art. 139 CPP. Il a rendu plausible que le personnel des EPO ne lui avait acheminé son courrier qu'avec retard. Il a dès lors été empêché sans sa faute d'agir en temps utile au sens de l'art. 138 CPP. Il y a ainsi matière à restitution. Partant, le recours doit être réputé déposé en temps utile. Il n'y a au surplus pas lieu de donner suite à la plainte du recourant dirigée contre des membres du personnel pénitentiaire, ces rapports de droit échappant à la compétence de la cour de céans. Le recours étant ainsi recevable en la forme, il doit être entré en matière en l'état.</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Comme déjà relevé, il doit être considéré que le recours tend à l'annulation du jugement et à ce que la libération conditionnelle est accordée au condamné.</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1b 106 c. 1b, JT 1973 IV 30, rés.; ATF 119 IV 5, c. 1b; Logoz, Commentaire du Code pénal suisse, 2ème éd., Neuchâtel et Paris 1976, n° 4a ad art. 38 CP; Maire, op. cit.,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ATF 125 IV 113; ATF 6B_72/2007 et les arrêts cités).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l'égide du nouveau droit (Cass. D., 21 juillet 2008, n° 282).</w:t>
      </w:r>
    </w:p>
    <w:p>
      <w:r>
        <w:rPr>
          <w:b/>
        </w:rPr>
        <w:t>E. 2.2</w:t>
      </w:r>
    </w:p>
    <w:p>
      <w:r>
        <w:t>En l'espèce, le Juge d'application des peines a d'abord considéré que le recourant est éligible à la libération conditionnelle depuis le 5 octobre 2009. a) La première question à trancher d'office est celle de la détermination du terme des deux tiers d'une peine lorsque le condamné a subi, respectivement doit subir plusieurs peines privatives de liberté dont certaines étaient exécutables et d'autres pas. La norme topique est l'art. 5 al. 1 de l'Ordonnance du Conseil fédéral du 19 septembre 2006 relative au code pénal et au code pénal militaire (O-CP-CPM; RS 311.01), qui prévoit que la date la plus proche de la libération conditionnelle d'une personne condamnée à des peines privatives de liberté d'une durée limitée et exécutables simultanément se détermine d'après la durée totale de ces peines. b) Ici, les peines exécutables lors de l'interruption de la détention, le 2 novembre 2007, étaient celles prononcées le 25 février 2005 (20 jours d'emprisonnement) et le 6 juillet 2007 (trois mois de privation de liberté). Ces peines ont été exécutées au 26 octobre 2007. En revanche les peines prononcées le 24 novembre 2006 (18 mois de privation de liberté, en plus de la révocation du sursis grevant la peine de 15 jours d'emprisonnement prononcée le 27 janvier 2004) n'étaient pas exécutables au 2 novembre 2007, vu le recours alors pendant devant le Tribunal fédéral et la libération provisoire ordonnée par cette autorité. En présence de peines exécutées et d'autres non exécutables, c'est à tort que l'OPE a additionné les périodes en considérant leur cumul comme une peine d'ensemble. Il s'ensuit qu'un solde de détention de sept jours doit être déduit au titre de la détention préventive bien qu'ayant été exécuté de manière anticipée. Le peine privative de liberté totale devant encore être exécutée est ainsi de 18 mois et 15 jours, sous déductions des sept jours déjà mentionnés. Le recourant a été réincarcéré le 2 octobre 2008. Partant, il aura purgé le total en question à la date du 10 avril 2010. Par identité de motifs, il est éligible à la libération conditionnelle depuis le 5 octobre 2009, comme en a statué le premier juge. Cela étant, la question litigieuse est celle des conditions de sa libération provisoire dès ce moment.</w:t>
      </w:r>
    </w:p>
    <w:p>
      <w:r>
        <w:rPr>
          <w:b/>
        </w:rPr>
        <w:t>E. 2.3</w:t>
      </w:r>
    </w:p>
    <w:p>
      <w:r>
        <w:t>Le Juge d'application des peines a d'abord constaté le bon comportement du recourant en prison, élément qui ne suffit évidemment pas à la libération conditionnelle. Encore faut-il, en effet, que le pronostic sur l'avenir du recourant ne soit pas défavorable en l'état. Dans leur grande majorité, les infractions à raison desquelles le recourant a été condamné sont des atteintes à l'honneur, perpétrées notamment à l'égard de membres d'autorités. En détention, l'intéressé n'a eu cesse de continuer à critiquer les autorités. La question de savoir si certains des termes alors utilisés par lui relèvent d'atteintes à l'honneur ne relève évidemment pas de la présente procédure; du reste, on ignore si des plaintes pénales ont été déposées à raison des écrits en question. De surcroît, des réclamations (même infondées) adressées par un détenu à l'encontre de l'administration pénitentiaire ne constituent, en elles mêmes, nullement un motif de refus de la libération conditionnelle, tant il est vrai que ces démarches sont protégées par les droits fondamentaux selon l'ordre constitutionnel. Il en va de même de la saisine du Grand Conseil aux fins de porter à sa connaissance des prétendus manquements dans le fonctionnement de l'administration. Cela étant, il n'en reste pas moins que les écrits du condamné sont révélateurs de son degré d'amendement au moins autant que ses propos. C'est essentiellement au vu de ceux-là que le premier juge a tenu cet amendement pour très insuffisant, d'où le pronostic défavorable posé. Le ton polémique, voire démesuré, dont persiste à faire usage le condamné à l'égard des autorités, mises en cause quasi-indistinctement et de manière récurrente, ne révèle guère d'introspection de sa part. L'intéressé a en outre exprimé la volonté de poursuivre un combat dont le jugement entrepris expose le caractère chimérique. Qui plus est, il refuse toute réparation en faveur des personnes qu'il a lésées et ne manifeste aucun regret à leur égard, de même qu'il conteste les frais de justice mis à sa charge. Néanmoins, il concède ne plus vouloir s'ériger en défenseur de tiers. Il doit en être déduit qu'il n'a pas pris conscience de la gravité de ses actes, si ce n'est d'une manière très insuffisante, dans la mesure où il n'accepte pas de formuler des critiques autrement que sur un ton outrancier, ce alors même que ses écrits témoignent d'une bonne maîtrise de la plume qui devrait lui permettre de nuancer et d'objectiver ses griefs. Il s'ensuit que, si la libération conditionnelle venait à être accordée, personne - et notamment pas les membres d'autorités - ne serait à l'abri de critiques démesurées et récurrentes de la part du recourant dès l'instant ou un quelconque litige devait l'opposer à celui-ci. Partant, les éléments qui avaient mené le recourant à la délinquance perdureront quasiment à l'identique s'il était libéré conditionnellement. Ainsi , pour ce qui est des effets futurs de l'exécution intégrale des peines opposés à ceux d'une libération conditionnelle, le risque de réitération est important, s'agissant spécifiquement d'atteintes à l'honneur. A ceci s'ajoute que le condamné n'a fait part d'aucun projet professionnel auquel il se vouerait après le terme de sa détention. Comme en a statué le premier juge , le risque de réitération présenté par le condamné justifie un pronostic défavorable à son égard.</w:t>
      </w:r>
    </w:p>
    <w:p>
      <w:r>
        <w:rPr>
          <w:b/>
        </w:rPr>
        <w:t>E. 3</w:t>
      </w:r>
    </w:p>
    <w:p>
      <w:r>
        <w:t>En définitive, le recours doit être rejeté et le jugement confirmé. Vu l'issue de recours, les frais de deuxième instance sont mis à la charge du recourant, conformément à l'article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