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34 vom 10. Juni 2009</w:t>
      </w:r>
    </w:p>
    <w:p>
      <w:r>
        <w:t>VD Tribunal cantonal, 2009-06-10, FR</w:t>
      </w:r>
    </w:p>
    <w:p>
      <w:r>
        <w:rPr>
          <w:b/>
        </w:rPr>
        <w:t xml:space="preserve">Quelle: </w:t>
      </w:r>
      <w:r>
        <w:t>https://mcp.opencaselaw.ch/entscheid/vd_findinfo_HC___2009___34</w:t>
      </w:r>
    </w:p>
    <w:p>
      <w:r>
        <w:t>FR: VD_FINDINFO HC / 2009 / 34 du 10 juin 2009</w:t>
      </w:r>
    </w:p>
    <w:p>
      <w:r>
        <w:t>IT: VD_FINDINFO HC / 2009 / 34 del 10 giugno 2009</w:t>
      </w:r>
    </w:p>
    <w:p>
      <w:pPr>
        <w:pStyle w:val="Heading2"/>
      </w:pPr>
      <w:r>
        <w:t>Regeste</w:t>
      </w:r>
    </w:p>
    <w:p>
      <w:r>
        <w:t>EXPULSION DE LOCATAIRE | 257d CO, 457 CPC, 23 LPEBL, 29 LPEBL</w:t>
      </w:r>
    </w:p>
    <w:p>
      <w:pPr>
        <w:pStyle w:val="Heading2"/>
      </w:pPr>
      <w:r>
        <w:t>Erwägungen</w:t>
      </w:r>
    </w:p>
    <w:p>
      <w:r>
        <w:rPr>
          <w:b/>
        </w:rPr>
        <w:t>E. 1</w:t>
      </w:r>
    </w:p>
    <w:p>
      <w:r>
        <w:t>a) L'art. 23 al. 1 LPEBL (loi sur la procédure d'expulsion en matière de baux à loyer et à ferme, RSV 221.305) ouvre un recours en nullité au Tribunal cantonal : a) lorsque le juge était incompétent ou s'est déclaré à tort incompétent; b) pour absence d'assignation régulière; c) pour violation des règles essentielles de la procédure lorsque l'informalité est de nature à influer sur le prononcé. Selon l'alinéa 2, il y a également recours au Tribunal cantonal pour déni de justice, celui-ci pouvant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(Code des obligations du 30 mars 1911, RS 220). En pareil cas, la Chambre des recours, pour répondre aux exigences du droit fédéral, doit disposer d'un libre pouvoir d'examen du droit fédéral (JT 2008 III 12; JT 2004 III 79). En l'espèce, la commission de conciliation n'a pas été saisie. La cour de céans dispose donc d'un pouvoir d'examen en droit limité à l'arbitraire (art. 23 al. 2 LPEBL). b) D'un point de vue factuel, la cour de céans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1993 III 88 c. 3). c) Le recours tend implicitement à la réforme de l'ordonnance en ce sens que l'expulsion n'est pas ordonnée. Déposé en temps utile (art. 24 LPEBL), par une partie qui y a intérêt, il est recevable. d) La production de pièces nouvelles devant la Chambre des recours n'est pas autorisée, à moins qu'elles ne servent à établir un moyen de nullité (art. 25 LPEBL a contrario; Poudret/Haldy/Tappy, Procédure civile vaudoise, 3 ème éd., 2002, n. 3 ad art. 457 CPC, p. 706; Guignard in Procédures spéciales, n. 1 ad art. 25 LPEB, p. 214). En l'espèce, les pièces nouvelles produites par l'intimée, attestant de différents payements effectués par la recourante depuis février 2009 (pièces 22 à 26), sont irrecevables et au demeurant sans pertinence, dès lors qu'elles concernent des montants payés après l'échéance du délai de 30 jours de l'art. 257d al. 1 CO, respectivement après la notification du congé.</w:t>
      </w:r>
    </w:p>
    <w:p>
      <w:r>
        <w:rPr>
          <w:b/>
        </w:rPr>
        <w:t>E. 2</w:t>
      </w:r>
    </w:p>
    <w:p>
      <w:r>
        <w:t>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(al. 1). Faute de paiement dans le délai fixé, le bailleur peut résilier les baux d'habitations, moyennant un délai de congé minimum de 30 jours pour la fin d'un mois (al. 2). En l'espèce, il n'est pas contesté que les conditions formelles de l'art. 257d CO sont réalisées. L'avis comminatoire a été notifié séparément à chacun des locataires et est parvenu en leurs mains. Il en va de même du congé donné après l'échéance d'un délai de 30 jours suivant la réception de l'avis comminatoire et pour la fin d'un mois. S'agissant du montant figurant dans l'avis comminatoire, il est fixé à 6'366 fr. 70 (pièce 11). On peut laisser indécises les questions de savoir si le loyer porté de 1'495 fr. à 1'570 fr. dès le 1 er octobre 2008 en vertu de la pièce 6 est valable quant à l'augmentation de 75 fr. par mois et s'il y a lieu de prendre en considération le "supplément de chauffage 2006/2007" par 51 fr. 70. En effet, au moment du congé donné le 9 décembre 2008, le solde redû pour les loyers objet de la commination était de l'ordre de 2'000 fr., soit un montant beaucoup plus élevé que les sommes représentées par les points précités. On note aussi que la bailleresse était en droit d'exiger le paiement des loyers trimestriellement d'avance, en vertu de la mise en demeure du 15 août 2008 (pièce 7). C'est donc à bon droit que le premier juge a considéré que "l'entier de l'arriéré de loyer n'a[vait] pas été acquitté dans le délai de trente jours imparti" et que le congé avait été valablement donné. Le fait que la recourante ait versé différents montants depuis lors est sans incidence quant à la validité du congé; il n'a pas non plus fait revivre le contrat de bail, ni créé un nouveau contrat de bail tacite, Pour le surplus, les moyens invoqués par la recourante (griefs formulés par l'intimée quant à l'activité professionnelle de la locataire, déclaration selon laquelle "l'ex-mari M. John Epars était prêt à payer le loyer") sont sans pertinence dans le cadre d'une procédure d'expulsion fondée sur le non-paiement du loyer, a fortiori lorsque, comme en l'espèce, le pouvoir d'examen de la Chambre des recours est limité au déni de justice.</w:t>
      </w:r>
    </w:p>
    <w:p>
      <w:r>
        <w:rPr>
          <w:b/>
        </w:rPr>
        <w:t>E. 3</w:t>
      </w:r>
    </w:p>
    <w:p>
      <w:r>
        <w:t>En conclusion, le recours doit être rejeté et l'ordonnance confirmée. Les frais de deuxième instance de la recourante sont arrêtés à 350 francs. Par ces motifs, la Chambre des recours du Tribunal cantonal, statuant à huis clos, prononce : I. Le recours est rejeté. II. L'ordonnance est confirmée . III. Les frais de deuxième instance de la recourante sont arrêtés à 350 francs (trois cent cinquante francs). IV. La recourante A.________ doit payer à l'intimée W.________ la somme de 350 fr. (trois cent cinquante francs) à titre de dépens de deuxième instance. V. L'arrêt motivé est exécutoire. Le président : La greffière : Du 10 juin 2009 Le dispositif de l'arrêt qui précède est communiqué par écrit aux intéressés. La greffière : Du L'arrêt qui précède, dont la rédaction a été approuvée à huis clos, est notifié à : ‑      M me A.________, ‑      M . Pierre-Yves Zurcher, agent d'affaires breveté (pour W.________).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me la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