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338 vom 20. August 2009</w:t>
      </w:r>
    </w:p>
    <w:p>
      <w:r>
        <w:t>VD Tribunal cantonal, 2009-08-20, FR</w:t>
      </w:r>
    </w:p>
    <w:p>
      <w:r>
        <w:rPr>
          <w:b/>
        </w:rPr>
        <w:t xml:space="preserve">Quelle: </w:t>
      </w:r>
      <w:r>
        <w:t>https://mcp.opencaselaw.ch/entscheid/vd_findinfo_HC___2009___338</w:t>
      </w:r>
    </w:p>
    <w:p>
      <w:r>
        <w:t>FR: VD_FINDINFO HC / 2009 / 338 du 20 août 2009</w:t>
      </w:r>
    </w:p>
    <w:p>
      <w:r>
        <w:t>IT: VD_FINDINFO HC / 2009 / 338 del 20 agosto 2009</w:t>
      </w:r>
    </w:p>
    <w:p>
      <w:pPr>
        <w:pStyle w:val="Heading2"/>
      </w:pPr>
      <w:r>
        <w:t>Regeste</w:t>
      </w:r>
    </w:p>
    <w:p>
      <w:r>
        <w:t>NULLITÉ, RECOURS EN NULLITÉ{ART. 68 OJ}, RECOURS EN MATIÈRE CIVILE, APPRÉCIATION DES PREUVES, INTERDICTION DE L'ARBITRAIRE | 444 al. 1 ch. 3 CPC, 444 CPC, 465 al. 1 CPC, 465 CPC, 5 LP</w:t>
      </w:r>
    </w:p>
    <w:p>
      <w:pPr>
        <w:pStyle w:val="Heading2"/>
      </w:pPr>
      <w:r>
        <w:t>Erwägungen</w:t>
      </w:r>
    </w:p>
    <w:p>
      <w:r>
        <w:rPr>
          <w:b/>
        </w:rPr>
        <w:t>E. 1</w:t>
      </w:r>
    </w:p>
    <w:p>
      <w:r>
        <w:t>a) Selon l'art. 451a al. 1 CPC (Code de procédure civile du 14 décembre 1966; RSV 270.11), le recours en réforme peut être formé contre un jugement de la Cour civile lorsque la cause n'est pas susceptible d'un recours en réforme au Tribunal fédéral ou, dans les contestations civiles portant sur un droit de nature pécuniaire, lorsque la cour a appliqué concurremment le droit fédéral et le droit cantonal ou étranger. Cette disposition n'a pas été adaptée à l'entrée en vigueur de la LTF (loi du 17 juin 2005 sur le Tribunal fédéral ; RS 173.110), intervenue le 1er janvier 2007, qui a abrogé la loi fédérale d'organisation judiciaire (art. 131 al. 1 LTF). La recevabilité du recours cantonal en réforme contre un jugement rendu après cette date doit dorénavant être examinée au regard de la LTF (art. 132 al. 1 LTF; au sujet de la recevabilité du recours de l'art. 451a CPC sous l'ancien droit Poudret/Haldy/Tappy, Procédure civile vaudoise, 3 ème éd., Lausanne 2002, n. 1 ad art. 451a CPC, pp. 683-684). Le recours en matière civile est ouvert contre les décisions finales (art. 90 LTF) rendues en matière civile (art. 72 al. 1 LTF) par une autorité cantonale de dernière instance (art. 75 al. 1 LTF) pour autant que la valeur litigieuse de 30'000 francs soit atteinte (art. 74 al. 1 let. b LTF), respectivement la valeur litigieuse de 15'000 francs en matière de droit du travail et de droit du bail à loyer (art. 74 al. 1 let. a LTF). La valeur litigieuse est déterminée, en cas de recours contre une décision finale, par les conclusions restées litigieuses devant l'autorité précédente (art. 51 al. 1 let. a LTF). Le recours en matière civile peut être interjeté pour violation du droit, tel qu'il est délimité par les art. 95 et 96 LTF, notamment pour violation du droit fédéral (art. 95 let. a LTF), y compris les droits constitutionnels (cf. Message du 28 février 2001 relatif à la révision totale de l'organisation judiciaire fédérale, FF 2001 p. 4000 ss, spéc. p. 4132; ATF 133 III 446 c. 3.1). En l'espèce, les conclusions de la demande tendent au paiement d'un montant de 1'159'311 fr. 40 et déterminent la valeur litigieuse puisque l'intimé a conclu à libération (art. 51 al. 1 let. a LTF). En outre, le jugement attaqué a été rendu dans une affaire civile régie par le droit fédéral, soit l'art. 5 LP (loi fédérale du 11 avril 1889 sur la poursuite pour dettes et la faillite, RS 281.1) qui fonde l'action en responsabilité civile contre un canton pour les actes de ses employés. Avant l'entrée en vigueur de cet article dans sa version actuelle, les décisions cantonales sur une telle action devaient être portées devant le Tribunal fédéral par la voie du recours de droit administratif (ATF 126 III 431, JT 2000 II 67). Actuellement, l'action en responsabilité civile de l'art. 5 LP, de droit public, relève du recours en matière civile dans la LTF (Donzallaz, Commentaire de la LTF, n. 2151, p. 833). Par conséquent, le recours en réforme cantonal n'est en l'espèce pas ouvert et les griefs qui portent sur l'application du droit matériel fédéral sont irrecevables. b) En revanche, le recours en nullité est ouvert. L'art. 444 al. 1 ch. 3 CPC ouvre la voie d'un tel recours devant le Tribunal cantonal contre tout jugement principal d'une autorité judiciaire quelconque en particulier pour violation des règles essentielles de la procédure, lorsque l'informalité est de nature à influer sur le jugement et ne peut être soumise au Tribunal cantonal par un recours en réforme ou corrigée par lui dans l'examen d'un tel recours. A teneur de l'art. 444 al. 2 CPC, le recours est toutefois irrecevable pour les griefs qui peuvent faire l'objet d'un recours en réforme au Tribunal fédéral. La jurisprudence cantonale en a déduit que, dès lors que le grief d'arbitraire dans l'appréciation des preuves ne pouvait pas être soulevé dans un recours en réforme (art. 43 de l'ancienne loi fédérale d'organisation judiciaire), il pouvait l'être dans le recours en nullité cantonal (JT 2001 III 128; Poudret/Haldy/Tappy, op. cit., n. 15 ad art. 444 CPC, p. 657). La LTF a remplacé le recours en réforme par le recours en matière civile (art. 72 ss LTF); dans le cadre de ce nouveau recours, le grief de la violation de l'interdiction constitutionnelle de l'arbitraire est recevable (art. 95 LTF; ATF 134 III 379 c. 1.2). L'art. 444 al. 2 CPC n'a toutefois pas été adapté à la modification des voies de recours fédérales; il continue de prévoir uniquement l'exclusion des griefs susceptibles de recours en réforme. Il en découle que le grief d'arbitraire dans l'appréciation des preuves continue d'être recevable dans le cadre du recours en nullité cantonal. Supprimer la possibilité de soulever ce grief irait au demeurant à l'encontre de l'art. 75 al. 2 LTF, qui impose aux cantons d'instituer la possibilité de recourir à un tribunal supérieur du canton; même si cette disposition n'est pas encore en vigueur (cf. art. 130 al. 2 LTF), il serait pour le moins paradoxal de prendre prétexte de l'entrée en vigueur de la LTF pour supprimer une possibilité de recours cantonal répondant pour partie à une exigence que la LTF formule (TF 4A_451/2008 du 18 novembre 2008 c. 1 et réf.). En l'espèce, le recourant se prévaut d'appréciation arbitraire des preuves (art. 444 al. 1 ch. 3 CPC). Le recours interjeté en temps utile est ainsi recevable.</w:t>
      </w:r>
    </w:p>
    <w:p>
      <w:r>
        <w:rPr>
          <w:b/>
        </w:rPr>
        <w:t>E. 2</w:t>
      </w:r>
    </w:p>
    <w:p>
      <w:r>
        <w:t>Selon la jurisprudence, le Tribunal cantonal n'examine que les moyens de nullité invoqués dans le recours et ne saurait retenir d'office la violation de dispositions de procédure non invoquées par le recourant. Dans ce cadre, il qualifie librement les griefs énoncés (Poudret/Haldy/Tappy, op. cit., n. 2 ad art. 465 CPC, p. 722).</w:t>
      </w:r>
    </w:p>
    <w:p>
      <w:r>
        <w:rPr>
          <w:b/>
        </w:rPr>
        <w:t>E. 3</w:t>
      </w:r>
    </w:p>
    <w:p>
      <w:r>
        <w:t>CPC. Il s'en prend à l'établissement des faits relatifs au comportement du préposé à l'office des faillites, qui lui aurait livré des informations lacunaires ou trompeuses en ce qui concerne le dépôt d'une plainte LP dirigée contre la vente de gré à gré à laquelle il était partie. Selon la disposition précitée, seule peut toutefois être sanctionnée l'informalité qui est de nature à influer sur le jugement. A l'égard des jugements pouvant faire l'objet d'un recours en réforme au Tribunal fédéral, comme c'est le cas en l'espèce, la Chambre des recours jouit d'un pouvoir d'appréciation restreint quant à l'influence de l'informalité sur le jugement; elle n'a pas le pouvoir de rectifier l'état de fait irrégulier et doit accueillir le recours en nullité à moins que l'informalité ne soit indiscutablement sans influence sur le jugement (Poudret/Haldy/Tappy, op. cit., n. 16 ad art. 444, p. 659 et réf. citées), les commentateurs étant néanmoins d'avis qu'il suffirait que l'informalité puisse avoir une incidence éventuelle sur le jugement pour que le recours soit dans ce cas admis (Poudret/Haldy/Tappy, op. cit., n. 5 ad. 445 CPC, p. 567 et réf. citées). Il faut dès lors déterminer si la modification de l'état de fait du jugement que l'admission des griefs du recourant entraînerait aurait un effet sur l'issue du litige. a) De l'avis du recourant, le préposé, lors d'un entretien téléphonique le 25 février 2005, lui a confirmé que la vente était acceptée par les créanciers gagistes et ne l'a pas informé de ce qu'une plainte LP avait été déposée, ce qu'il n'a fait que par lettre du 5 juin suivant à la fiduciaire D.________ SA. Si cette version des faits était exacte, elle ne permettrait de conclure à une responsabilité de l'Etat fondée sur l'art. 5 LP que si le comportement du préposé ainsi établi avait été illicite, à savoir s'il avait violé un ordre ou une défense édictés par l'ordre juridique pour la défense de l'intérêt en cause. Une telle violation ne peut pas être vue dans une abstention du préposé de communiquer au recourant l'existence d'une plainte LP. Une omission peut certes, le cas échéant, constituer un acte illicite, mais il faut alors qu'il existe, au moment déterminant, une norme juridique qui sanctionne explicitement l'omission commise ou qui impose à l'Etat de prendre en faveur du lésé la mesure omise; un tel chef de responsabilité suppose donc que l'Etat ait une position de garant vis-à-vis du lésé et que les prescriptions qui déterminent la nature et l'étendue de ce devoir soient violées (ATF 132 lI 305 c 4.1; ATF 123 lI 577 consid. 4d/ff ; ATF 118 lb 473 consid. 2b; ATF 116 lb 367 consid. 4; Cross, Schweizerisches Staatshaftungsrecht, 2 ème éd., Berne 2001, p. 164, spec. Pp. 175/176): Or, aucune norme, telle l'art. 27 LPGA (loi fédérale du 6 octobre 2000 sur la partie générale du droit des assurances sociales; RS 830.1) en matière d'assurances sociales, n'imposait au préposé de renseigner le recourant au sujet de ses droits et obligations dans la procédure LP, ni d'attirer son attention sur telle démarche des parties à cette procédure. Il est vrai que la vente de gré à gré a constitué un contrat de droit administratif impliquant entre la collectivité et le recourant une relation particulière, mais celle-ci n'imposait pas au préposé d'adopter un comportement protecteur. Au surplus, que le recourant se soit cru à un moment donné au bénéfice d'un contrat définitif ne lui permet pas de contester les conséquences du recours LP formé par un créancier. Selon la jurisprudence du Tribunal fédéral en effet, lorsqu'un administré se trouve au bénéfice d'une décision nulle, voire erronée, sa bonne foi ne saurait le protéger contre l'intervention de l'autorité de surveillance destinée à rétablir une situation conforme au droit lorsque cette intervention est conforme au principe de la proportionnalité (TF 1C_170/2008 du 22 août 2008 consid. 3.2; TF 1A.1/2005 du 11 novembre 2005 consid. 8.3). S'agissant non plus d'une omission mais de l'action positive du préposé, à savoir sa déclaration selon laquelle la vente était acceptée par les créanciers gagistes, elle ne peut pas être considérée comme la fourniture d'un faux renseignement, puisqu'effectivement, conformément aux conditions qui avaient été fixées dans la circulaire du préposé du 8 février 2002, une majorité de créanciers avait conduit à l'acceptation de la vente de gré à gré. Aucune erreur ni aucun mensonge ne peuvent ainsi être imputés au préposé. Cela étant, ne permettant pas de retenir un comportement illicite, la version des faits du recourant ne serait pas susceptible de conduire à une modification du jugement niant la responsabilité de l'Etat. Ce moyen du recourant doit dès lors être rejeté. b) Le recourant prétend encore que les premiers juges ont établi les faits de manière arbitraire en ce qui concerne respectivement son intention d'envoyer une lettre de démission, ses difficultés dans la reprise d'un bail à loyer et diverses modalités de sa nouvelle activité commerciale. Dès lors toutefois qu'un manquement de l'agent étatique doit être exclu comme vu ci-dessus, ces éléments de fait sont sans incidence sur l'issue du litige et ce moyen du recourant doit lui aussi être rejeté. c) Le recourant invoque enfin un défaut de motivation du jugement entrepris en ce qui concerne le résultat de l'expertise ayant porté sur le dommage qu'il a subi. En tant que ce grief serait justifié, il n'aurait aucun effet sur le jugement, de sorte qu'il doit également être rejeté.</w:t>
      </w:r>
    </w:p>
    <w:p>
      <w:r>
        <w:rPr>
          <w:b/>
        </w:rPr>
        <w:t>E. 4</w:t>
      </w:r>
    </w:p>
    <w:p>
      <w:r>
        <w:t>En conclusion, le recours doit être rejeté et le jugement attaqué maintenu, en application de l'art. 465 al. 1 CPC. Les frais de deuxième instance du recourant sont arrêtés à 11'890 fr. (art. 232 al. 1 TFJC [tarif des frais judiciaires en matière civile du 4 décembre 1984; RSV 270.11.5]). Par ces motifs, la Chambre des recours du Tribunal cantonal, statuant à huis clos, en application de l'art. 465 al. 1 CPC, prononce : I. Le recours est rejeté. II. Le jugement est maintenu. III. Les frais de deuxième instance du recourant A.________ sont arrêtés à 11'890 fr. (onze mille huit cent nonante francs). IV. L'arrêt motivé est exécutoire. L e président : L a greffi ère : Du 20 août 2009 Le dispositif de l'arrêt qui précède est communiqué par écrit aux intéressés. L a greffi ère : Du L'arrêt qui précède, dont la rédaction a été approuvée à huis clos, est notifié en expédition complète, par l'envoi de photocopies, à : ‑      Me Laurent Moreillon (pour A.________), ‑      Me Jean-Luc Subilia (pour l'Etat de Vaud). La Chambre des recours considère que la valeur litigieuse est de 1'159'311 fr. 40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du Tribunal cantonal.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