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331 vom 11. Juni 2009</w:t>
      </w:r>
    </w:p>
    <w:p>
      <w:r>
        <w:t>VD Tribunal cantonal, 2009-06-11, FR</w:t>
      </w:r>
    </w:p>
    <w:p>
      <w:r>
        <w:rPr>
          <w:b/>
        </w:rPr>
        <w:t xml:space="preserve">Quelle: </w:t>
      </w:r>
      <w:r>
        <w:t>https://mcp.opencaselaw.ch/entscheid/vd_findinfo_HC___2009___331</w:t>
      </w:r>
    </w:p>
    <w:p>
      <w:r>
        <w:t>FR: VD_FINDINFO HC / 2009 / 331 du 11 juin 2009</w:t>
      </w:r>
    </w:p>
    <w:p>
      <w:r>
        <w:t>IT: VD_FINDINFO HC / 2009 / 331 del 11 giugno 2009</w:t>
      </w:r>
    </w:p>
    <w:p>
      <w:pPr>
        <w:pStyle w:val="Heading2"/>
      </w:pPr>
      <w:r>
        <w:t>Regeste</w:t>
      </w:r>
    </w:p>
    <w:p>
      <w:r>
        <w:t>SURSIS À L'EXÉCUTION DE LA PEINE | 42 CP, 415 CPP, 431 al. 2 CPP, 447 al. 2 CPP</w:t>
      </w:r>
    </w:p>
    <w:p>
      <w:pPr>
        <w:pStyle w:val="Heading2"/>
      </w:pPr>
      <w:r>
        <w:t>Erwägungen</w:t>
      </w:r>
    </w:p>
    <w:p>
      <w:r>
        <w:rPr>
          <w:b/>
        </w:rPr>
        <w:t>E. 1</w:t>
      </w:r>
    </w:p>
    <w:p>
      <w:r>
        <w:t>Le recours d'E.________ tend exclusivement à la réforme du jugement entrepris. Dans un tel cas, la cour de céans examine librement les questions de droit sans être limitée aux moyens que les parties invoquent (art. 447 al. 1er CPP). Elle est cependant liée par les faits constatés dans le jugement attaqué, sous réserve des inadvertances manifestes, qu'elle rectifie d'office (art. 447 al. 2 CPP). On relèvera à cet égard que c'est à la suite d'une telle inadvertance que les premiers juges, s'agissant de la non-révocation du sursis à une peine de 30 jours-amende se réfèrent, au chiffre XI de leur dispositif, à une condamnation prononcée le 28 novembre 2007 par le Juge d'instruction du Nord vaudois alors qu'elle concerne une décision du 19 février 2007 du Ministère public de Neuchâtel. Il conviendra de rectifier d'office ce point.</w:t>
      </w:r>
    </w:p>
    <w:p>
      <w:r>
        <w:rPr>
          <w:b/>
        </w:rPr>
        <w:t>E. 2</w:t>
      </w:r>
    </w:p>
    <w:p>
      <w:r>
        <w:t>Le recourant estime que c'est à tort que les premiers juges n'ont pas assorti d'un sursis complet la peine prononcée à son encontre. Il fait valoir que, nonobstant ses antécédents, des circonstances particulièrement favorables justifient l'octroi du sursis dans le cas particulier. E.________ souligne à cet égard qu'il est père depuis décembre 2008, qu'il a acquis une formation et qu'il suit aujourd'hui un stage non rémunéré dans une entreprise, avec la perspective d'un emploi éventuel. Il fait aussi état du suivi d'une thérapie de groupe et sa poursuite dans le cadre d'un soutien individuel, de ses aveux et de ses engagements de rembourser les plaignants. Il affirme faire ainsi tout son possible pour tourner la page. 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b) La lecture du jugement permet tout d'abord de constater que les premiers juges ont fait état de l'ensemble des éléments dont se prévaut le recourant. Même positifs, ceux-ci ne contrebalancent pas les antécédents d'E.________, ni le fait que les infractions jugées aujourd'hui sont nombreuses et graves, qu'elles ont perduré jusqu'en décembre 2008 et qu'elles dénotent un caractère violent dont même le recourant estime qu'il ne parvient pas encore à le maîtriser puisqu'il souhaite bénéficier d'un soutien à cet égard. On ne sait d'ailleurs pas en quoi a consisté la formation obtenue et sa reconnaissance sur le marché, ni sa durée, ni, enfin, quand elle a été suivie. Les circonstances invoquées ne sont donc pas suffisantes pour admettre que l'octroi d'un sursis complet serait de nature à détourner le recourant de sa propension à commettre des infractions. Les deux mois de peine privative de liberté ferme qui lui ont été infligés en 2008 n'ont d'ailleurs pas eu cet effet. Cela étant, on ne saurait considérer que le tribunal a jugé la situation de manière abusive, lorsqu'il a limité le sursis à une partie seulement de la peine infligée à E.________. Mal fondé, le moyen ne peut donc qu'être rejeté.</w:t>
      </w:r>
    </w:p>
    <w:p>
      <w:r>
        <w:rPr>
          <w:b/>
        </w:rPr>
        <w:t>E. 3</w:t>
      </w:r>
    </w:p>
    <w:p>
      <w:r>
        <w:t>En définitive, le recours d'E.________ doit être rejeté et le jugement confirmé, sous réserve du chiffre XI du dispositif qui doit être rectifié d'office. Les frais de deuxième instance, y compris l'indemnité allouée au conseil d'office d'E.________, seront supportés par le recourant. Le remboursement de cette indemnité ne sera cependant exigible que pour autant que la situation économique d'E.________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