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320 vom 6. November 2009</w:t>
      </w:r>
    </w:p>
    <w:p>
      <w:r>
        <w:t>VD Tribunal cantonal, 2009-11-06, FR</w:t>
      </w:r>
    </w:p>
    <w:p>
      <w:r>
        <w:rPr>
          <w:b/>
        </w:rPr>
        <w:t xml:space="preserve">Quelle: </w:t>
      </w:r>
      <w:r>
        <w:t>https://mcp.opencaselaw.ch/entscheid/vd_findinfo_HC___2009___320</w:t>
      </w:r>
    </w:p>
    <w:p>
      <w:r>
        <w:t>FR: VD_FINDINFO HC / 2009 / 320 du 6 novembre 2009</w:t>
      </w:r>
    </w:p>
    <w:p>
      <w:r>
        <w:t>IT: VD_FINDINFO HC / 2009 / 320 del 6 novembre 2009</w:t>
      </w:r>
    </w:p>
    <w:p>
      <w:pPr>
        <w:pStyle w:val="Heading2"/>
      </w:pPr>
      <w:r>
        <w:t>Regeste</w:t>
      </w:r>
    </w:p>
    <w:p>
      <w:r>
        <w:t>MESURE PROVISIONNELLE, PROVISOIRE, COMPÉTENCE, DROIT CANTONAL, DROIT FÉDÉRAL | 137 CC, 110 CPC, 444 al. 1 ch. 3 CPC</w:t>
      </w:r>
    </w:p>
    <w:p>
      <w:pPr>
        <w:pStyle w:val="Heading2"/>
      </w:pPr>
      <w:r>
        <w:t>Erwägungen</w:t>
      </w:r>
    </w:p>
    <w:p>
      <w:r>
        <w:rPr>
          <w:b/>
        </w:rPr>
        <w:t>E. 1</w:t>
      </w:r>
    </w:p>
    <w:p>
      <w:r>
        <w:t>La voie du recours en nullité de l'art. 444 CPC (Code de procédure civile du 14 décembre 1966 ; RSV 270.11) est seule ouverte contre les arrêts sur appel de mesures provisionnelles pour les griefs énoncés à l'al. 1 de cette disposition, celle du recours en réforme étant exclue. L'art. 444 al. 1 ch. 3 CPC ne permet toutefois pas à la Chambre des recours d'entrer en matière sur un grief tiré d'une violation du droit matériel, même sous l'angle de l'arbitraire (JT 2007 III 48 ; 1996 III 59 ; 1988 III 114 ; Poudret/Haldy/Tappy, Procédure civile vaudoise, 3ème éd., Lausanne 2002, n. 1 ad art. 108 CPC, pp. 211-212 et n. 1 ad art. 111 CPC, p. 217). Il résulte de ce qui précède que les conclusions en réforme du recourant sont irrecevables. Seules sont recevables celles en nullité. La Chambre des recours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Le recourant soutient que les juges de l'appel n'avaient plus la compétence de statuer sur sa requête dès lors que l'instance au fond, partant, l'instance de mesures provisionnelles qui en dépendait, étaient devenues caduques, le juge ne pouvant ordonner des mesures provisoires que pendant la procédure de divorce ou après la dissolution du mariage, lorsque la procédure relative aux effets du divorce n'est pas encore close (art. 137 CC). Ce faisant, le recourant invoque bel et bien une violation d'une règle de procédure recevable dans un recours en nullité dès lors que son argumentation revient à dire que l'art. 137 CC exclut le prononcé de mesures provisionnelles si une procédure de divorce n'est pas pendante. L'arrêt sur appel attaqué assied le maintien de l'instance de mesures provisionnelles sur la procédure de validation a posteriori prévue à l'art. 110 CPC qui prévoit que, lorsque les mesures provisionnelles ont été ordonnées avant l'ouverture d'action, le procès doit être introduit dans les trente jours dès que l'ordonnance est devenue définitive, que, si l'action est ouverte par requête de conciliation, ce délai est de dix jours et que, si ces délais sont outrepassés, l'ordonnance devient caduque. Ce motif est erroné. En effet, l'art. 110 CPC, règle de droit cantonal, ne saurait prévaloir sur l'art. 137 CC qui est une règle de droit fédéral et qui régit le début et la fin des mesures provisoires liées au procès en divorce. Les mesures provisionnelles (recte : provisoires) ordonnées en l'espèce sont par conséquent régies par l'art. 137 CC et non pas par l'art. 110 CPC (Denis Tappy, Quelques aspects de la procédure de mesures provisionnelles, spécialement en matière matrimoniale in JT 1994 III 34, spéc. pp 36, 38 et 39). En outre, l'art. 362 al. 2 CPC, qui délimite mesures protectrices et mesures provisionnelles dans les conflits matrimoniaux, dispose que, dès l'ouverture d'une action en divorce ou en séparation de corps et après la dissolution du mariage, lorsque la procédure relative aux effets du divorce n'est pas close, il doit être procédé en la forme des mesures provisionnelles, si bien qu'a contrario il ne peut être procédé que par voie de mesures protectrices dès que le procès en divorce lato sensu n'est plus pendant. Quant à l'autre chef de compétence invoqué, l'art. 315a CC qui prévoit que le juge matrimonial du divorce ou des mesures protectrices de l'union conjugale est compétent pour statuer sur les relations personnelles de l'enfant et veiller à sa protection, son application dépend de l'existence, soit de l'ouverture et du maintien d'une instance en divorce ou en mesures protectrices de l'union conjugale. Conformément aux art. 371n al. 1 et 129 ch. 6 a contrario CPC, le recourant a ouvert action en divorce par requête en conciliation. Faute pour lui d'avoir donné suite dans les trente jours à la communication de l'acte de non-conciliation, la procédure de conciliation est devenue caduque (art. 137 CPC). Le recourant a donc abandonné son action en divorce. Reste à examiner les conséquences de cette caducité sur l'instance de mesures provisoires et, le cas échéant, sur l'instance de mesures protectrices de l'union conjugale. Les mesures provisoires régissent les relations familiales pendant la procédure de divorce (Werro, Concubinage, mariage et démariage, 5ème éd., Berne 2000, n° 843). Après la clôture définitive de la procédure de divorce, il n'y a plus place pour des mesures provisoires (Urs Gloor, Basler Kommentar, Bâle 2002, n° 4 et 14 ad art. 137 CC ; JT 2003 I 45, c. 2). Il en résulte que l'appel était sans objet, l'instance de mesures provisoires étant devenue caduque au même titre que l'action en divorce. Il convient encore d'examiner si l'appel survit néanmoins à la mise à néant du procès en divorce dès lors qu'une instance de mesures protectrices de l'union conjugale se substituerait automatiquement à l'instance des mesures provisoires. En ce qui concerne les mesures protectrices de l'union conjugale ordonnées ou requises avant l'ouverture d'une action en divorce, la jurisprudence a fixé qu'elles demeuraient en vigueur ou qu'elles pouvaient être prononcées par le juge des mesures protectrices jusqu'à décision du juge des mesures provisoires (Tappy, op. cit. p. 38 ; Poudret, Haldy, Tappy, op. cit., pp. 198-199, p. 542). Ainsi la décision du tribunal des mesures protectrices de l'union conjugale prise en vertu de sa compétence déploie ses effets jusqu'à ce que le juge du divorce ait pris d'autres mesures (ATF 129 III 60, JT 2003 I 45). En revanche, des mesures provisoires devenues caduques par la caducité même de la procédure de divorce ne se muent pas automatiquement en mesures protectrices de l'union conjugale, et un appel dirigé contre une ordonnance de mesures provisoires ne devient pas un appel contre une ordonnance de mesures protectrices de l'union conjugale. L'organisation de la vie séparée par le juge exige en effet que l'un des conjoints en fasse la requête, ainsi que la vérification de ce que la suspension de la vie commune soit fondée (art. 176 al. 1 CC). Il incombe donc à l'époux qui y a intérêt de requérir des mesures protectrices. Ainsi, dès la caducité du procès en divorce et notamment à l'audience d'appel du 19 mars 2009 (art. 363 CPC), l'intimée aurait pu admettre la caducité des mesures provisoires et requérir immédiatement du président du tribunal qu'il rende, le cas échéant en urgence (art. 366 CPC), une ordonnance de mesures protectrices de l'union conjugale reprenant par hypothèse chacun des points du dispositif de l'ordonnance de mesures provisionnelles du 2 décembre 2008. En l'espèce, le procès en divorce a pris fin trente jours après la notification de l'acte de non-conciliation envoyé le 28 novembre 2008, soit aux environs de fin décembre 2008. A partir de ce moment, il n'y a, comme on l'a vu, plus matière à mesures provisoires, donc à appel. Se pose en revanche la question de la modification par voie d'appel des mesures provisionnelles ayant eu cours du 2 à fin décembre 2008, soit durant la période de validité de l'ordonnance de mesures provisionnelles du 2 décembre 2008. On peut toutefois laisser en suspens la question de la compétence du juge d'appel des mesures provisionnelles pour la réglementation des rapports des conjoints durant ce court laps de temps ; en effet, en tant qu'il portait sur la garde et les modalités des relations personnelles de l'enfant avec le parent non gardien, même en cas d'aboutissement, l'appel ne pouvait modifier rétroactivement le cadre de vie de l'enfant durant le mois de décembre 2008 (la restitution de l'effet suspensif et les mesures préprovisionnelles, requises par l'appelant, ayant été rejetées par décision du Président du 19 décembre 2008). Le recourant a d'ailleurs lui-même conclu à la caducité de l'appel, sans réserver la période de décembre 2008. Il en découle que l'appel s'avère sans objet pour cette période et que par la suite, dès la fin du procès en divorce, les premiers juges n'étaient plus compétents pour statuer en matière de mesures provisionnelles. Compte tenu de l'admission de ce premier grief, il n'y pas lieu d'examiner les autres moyens soulevés par le recourant.</w:t>
      </w:r>
    </w:p>
    <w:p>
      <w:r>
        <w:rPr>
          <w:b/>
        </w:rPr>
        <w:t>E. 3</w:t>
      </w:r>
    </w:p>
    <w:p>
      <w:r>
        <w:t>En conclusion, le recours doit être admis, l'arrêt sur appel annulé et la cause renvoyée au Tribunal d'arrondissement de l'Est vaudois pour nouvelle décision dans le sens des considérants. Les frais du recourant sont arrêtés à 300 fr. (art. 233 TFJC [Tarif du 4 décembre 1984 des frais judiciaires en matière civile ; RSV 270.11.5]). L'intimée doit verser au recourant la somme de 1'300 fr. à titre de dépens pour la procédure devant la Chambre des recours. Par ces motifs, la Chambre des recours du Tribunal cantonal, statuant à huis clos, prononce : I. Le recours est admis. II. L'arrêt sur appel est annulé et la cause est renvoyée au Tribunal d'arrondissement de l'Est vaudois pour nouvelle décision dans le sens des considérants. III. Les frais du recourant sont arrêtés à 300 fr. (trois cents francs). IV. L'intimée W.________ doit verser au recourant T.________ la somme de 1'300 fr. à titre de dépens pour la procédure devant la Chambre des recours. V. L'arrêt est exécutoire. L e président : L a greffi ère : Du L'arrêt qui précède, dont la rédaction a été approuvée à huis clos, est notifié à : ‑      Me Véronique Mauron-Demole (pour T.________), ‑      Me Alain Dubuis (pour W.________).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