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292 vom 29. Juli 2009</w:t>
      </w:r>
    </w:p>
    <w:p>
      <w:r>
        <w:t>VD Tribunal cantonal, 2009-07-29, FR</w:t>
      </w:r>
    </w:p>
    <w:p>
      <w:r>
        <w:rPr>
          <w:b/>
        </w:rPr>
        <w:t xml:space="preserve">Quelle: </w:t>
      </w:r>
      <w:r>
        <w:t>https://mcp.opencaselaw.ch/entscheid/vd_findinfo_HC___2009___292</w:t>
      </w:r>
    </w:p>
    <w:p>
      <w:r>
        <w:t>FR: VD_FINDINFO HC / 2009 / 292 du 29 juillet 2009</w:t>
      </w:r>
    </w:p>
    <w:p>
      <w:r>
        <w:t>IT: VD_FINDINFO HC / 2009 / 292 del 29 luglio 2009</w:t>
      </w:r>
    </w:p>
    <w:p>
      <w:pPr>
        <w:pStyle w:val="Heading2"/>
      </w:pPr>
      <w:r>
        <w:t>Regeste</w:t>
      </w:r>
    </w:p>
    <w:p>
      <w:r>
        <w:t>ÉCHAFAUDAGE, TRAVAUX DE CONSTRUCTION, RESPONSABILITÉ POUR LES AUXILIAIRES{CONTRACTUELLE}, MAÎTRE DE L'OUVRAGE | 55 CO, 17 CPC, 457 CPC</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 Un nouvel acte ayant été produit dans le délai imparti, il est réputé déposé à la date du dépôt de l'acte refusé (art. 17 al.</w:t>
      </w:r>
    </w:p>
    <w:p>
      <w:r>
        <w:rPr>
          <w:b/>
        </w:rPr>
        <w:t>E. 2</w:t>
      </w:r>
    </w:p>
    <w:p>
      <w:r>
        <w:t>Saisie d'un recours en nullité, la Chambre des recours n'examine que les moyens dûment développés (Poudret/Haldy/Tappy, Procédure civile vaudoise,</w:t>
      </w:r>
    </w:p>
    <w:p>
      <w:r>
        <w:rPr>
          <w:b/>
        </w:rPr>
        <w:t>E. 3</w:t>
      </w:r>
    </w:p>
    <w:p>
      <w:r>
        <w:t>a) Le recourant n'a pas déposé de mémoire ampliatif dans le délai - prolongé - qui lui avait été imparti et n'a ainsi pas exposé de griefs à l'appui de ses conclusions en réforme. Saisie de conclusions en réforme valablement formulées, la Chambre des recours doit cependant contrôler d'office le bien-fondé du jugement attaqué (Poudret/Haldy/Tappy, op. cit., n. 4 ad art. 465 CPC, p. 723, et n. 4 ad art. 470 CPC, p. 731). b) 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Il n'y a pas lieu de le compléter, la cour de céans étant à même de statuer en réforme.</w:t>
      </w:r>
    </w:p>
    <w:p>
      <w:r>
        <w:rPr>
          <w:b/>
        </w:rPr>
        <w:t>E. 4</w:t>
      </w:r>
    </w:p>
    <w:p>
      <w:r>
        <w:t>a) Le recourant n'a fait valoir aucun moyen. On comprend toutefois de ses conclusions et de celles de sa demande du 25 juillet 2006 que le recours tend à ce qu'il soit dit que l'intimé est condamné à lui payer la somme de 2'249 fr. 40 en capital (cf. jgt, pp. 4 et 5). b) Le premier juge a considéré que les frais de remise en état du plafond du garage du recourant, le remplacement de certaines tuiles, ainsi que les frais de peinture et de nettoyage des chéneaux dudit garage - dommages causés par l'échafaudage installé par l'entreprise O.________ à la demande de l'intimé T.________ lors de travaux sur son bâtiment -, n'étaient pas à la charge de l'intimé, celui-ci étant maître de l'ouvrage et ne répondant pas du fait d'autrui (jgt, p. 6). c) C'est à juste titre que le juge de paix a estimé que l'intimé ne répondait pas des actes de l'entreprise d'échafaudages. En effet, aux termes de l'art. 55 al. 1 CO (Code des obligations du 30 mars 1911; RS 220),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Lors de l'examen de la responsabilité fondée sur cette disposition, il convient de se baser sur la qualification effective des relations entre les parties. En l'espèce, l'intimé et la société O.________ étaient liés par un contrat d'entreprise au sens des art. 363 ss CO. Or, selon la doctrine et la jurisprudence, l'entrepreneur ne saurait être considéré comme un auxiliaire du maître de l'ouvrage (ATF 99 II 131, JT 1974 I 130 c. 2; Oftinger/Stark, Schweizerisches Haftpflichtrecht, Besonderer Teil, t. II/1, Zurich 1987, chap. 20, n. 67, p. 307; Werro, Commentaire romand, 2003, n.</w:t>
      </w:r>
    </w:p>
    <w:p>
      <w:r>
        <w:rPr>
          <w:b/>
        </w:rPr>
        <w:t>E. 8</w:t>
      </w:r>
    </w:p>
    <w:p>
      <w:r>
        <w:t>ad art. 55 CO, p. 378). Les actes de l'entreprise d'échafaudages ne sont ainsi pas imputables à l'intimé en vertu de l'art. 55 CO et le jugement peut être confirmé. 5. En conclusion, le recours doit être rejeté, en application de l'art. 465 al. 1 CPC, et le jugement confirmé. Les frais de deuxième instance du recourant sont arrêtés à 250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Q.________ sont arrêtés à 250 fr. (deux cent cinquante francs). IV. L'arrêt motivé est exécutoire. L e président : L a greffi ère : Du 29 juillet 2009 Le dispositif de l'arrêt qui précède est communiqué par écrit aux intéressés. L a greffi ère : Du L'arrêt qui précède, dont la rédaction a été approuvée à huis clos, est notifié en expédition complète, par l'envoi de photocopies, à : ‑      M. Philippe Chiocchetti (pour Q.________), ‑      M. Serge Maret (pour T.________). La Chambre des recours considère que la valeur litigieuse est de 2'249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