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282 vom 6. August 2009</w:t>
      </w:r>
    </w:p>
    <w:p>
      <w:r>
        <w:t>VD Tribunal cantonal, 2009-08-06, FR</w:t>
      </w:r>
    </w:p>
    <w:p>
      <w:r>
        <w:rPr>
          <w:b/>
        </w:rPr>
        <w:t xml:space="preserve">Quelle: </w:t>
      </w:r>
      <w:r>
        <w:t>https://mcp.opencaselaw.ch/entscheid/vd_findinfo_HC___2009___282</w:t>
      </w:r>
    </w:p>
    <w:p>
      <w:r>
        <w:t>FR: VD_FINDINFO HC / 2009 / 282 du 6 août 2009</w:t>
      </w:r>
    </w:p>
    <w:p>
      <w:r>
        <w:t>IT: VD_FINDINFO HC / 2009 / 282 del 6 agosto 2009</w:t>
      </w:r>
    </w:p>
    <w:p>
      <w:pPr>
        <w:pStyle w:val="Heading2"/>
      </w:pPr>
      <w:r>
        <w:t>Regeste</w:t>
      </w:r>
    </w:p>
    <w:p>
      <w:r>
        <w:t>DÉCISION PRÉJUDICIELLE, QUESTION PRÉJUDICIELLE, ACTION EN CONSTATATION, SERVITUDE, DROIT DE PASSAGE, LÉGITIMATION ACTIVE ET PASSIVE, QUALITÉ POUR AGIR ET RECOURIR | 423 al. 1 CPC, 451b CPC</w:t>
      </w:r>
    </w:p>
    <w:p>
      <w:pPr>
        <w:pStyle w:val="Heading2"/>
      </w:pPr>
      <w:r>
        <w:t>Erwägungen</w:t>
      </w:r>
    </w:p>
    <w:p>
      <w:r>
        <w:rPr>
          <w:b/>
        </w:rPr>
        <w:t>E. 1</w:t>
      </w:r>
    </w:p>
    <w:p>
      <w:r>
        <w:t>a) Les art. 444, 445 et 451 ch. 3 CPC (Code de procédure civile du 14 décembre 1966; RSV 270.11) ouvrent la voie des recours en nullité et en réforme contre les jugements principaux rendus par un président de tribunal d'arrondissement, y compris lorsqu'ils statuent, comme en l'espèce, sur une question préjudicielle (art. 451b CPC). b) Les recourants concluent subsidiairement à l'annulation. Ils ne font toutefois valoir aucun moyen spécifique de nullité à l'appui de cette conclusion, de sorte que celle-ci doit être écartée, la cour de céans n'examinant que les moyens de nullité dûment développés (Poudret/Haldy/Tappy, Procédure civile vaudoise,</w:t>
      </w:r>
    </w:p>
    <w:p>
      <w:r>
        <w:rPr>
          <w:b/>
        </w:rPr>
        <w:t>E. 3</w:t>
      </w:r>
    </w:p>
    <w:p>
      <w:r>
        <w:t>En conséquence, le recours doit être rejeté et le jugement confirmé. Les frais de deuxième instance, par 500 fr., sont mis à la charge des recourants, solidairement entre eux, conformément à l'art. 232 TFJC (Tarif des frais judiciaires en matière civile; RSV 270.11.5). Par ces motifs, la Chambre des recours du Tribunal cantonal, statuant à huis clos, prononce : I. Le recours est rejeté. II. Le jugement est confirmé. III. Les frais de deuxième instance des recourants B. et C. F.________, solidairement entre eux, sont arrêtés à 500 fr. (cinq cents francs). IV. L'arrêt motivé est exécutoire. L e président : L e greffi er : Du 6 août 2009 Le dispositif de l'arrêt qui précède est communiqué par écrit aux intéressés. L e greffi er : Du L'arrêt qui précède, dont la rédaction a été approuvée à huis clos, est notifié en expédition complète, par l'envoi de photocopies, à : ‑      Me Henri Baudraz (pour B. et C. F.________), ‑      Me Olivier Buttet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