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273 vom 9. Juni 2009</w:t>
      </w:r>
    </w:p>
    <w:p>
      <w:r>
        <w:t>VD Tribunal cantonal, 2009-06-09, FR</w:t>
      </w:r>
    </w:p>
    <w:p>
      <w:r>
        <w:rPr>
          <w:b/>
        </w:rPr>
        <w:t xml:space="preserve">Quelle: </w:t>
      </w:r>
      <w:r>
        <w:t>https://mcp.opencaselaw.ch/entscheid/vd_findinfo_HC___2009___273</w:t>
      </w:r>
    </w:p>
    <w:p>
      <w:r>
        <w:t>FR: VD_FINDINFO HC / 2009 / 273 du 9 juin 2009</w:t>
      </w:r>
    </w:p>
    <w:p>
      <w:r>
        <w:t>IT: VD_FINDINFO HC / 2009 / 273 del 9 giugno 2009</w:t>
      </w:r>
    </w:p>
    <w:p>
      <w:pPr>
        <w:pStyle w:val="Heading2"/>
      </w:pPr>
      <w:r>
        <w:t>Regeste</w:t>
      </w:r>
    </w:p>
    <w:p>
      <w:r>
        <w:t>FAUX INTELLECTUEL DANS LES TITRES, FAUX MATÉRIEL DANS LES TITRES | 251 CP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 2.1a) La recourante se plaint d'abord du "non respect du caractère contradictoire des débats". Elle reproche au premier juge d'avoir autorisé le plaignant à avancer un élément nouveau en audience (à savoir le numéro de son passeport), sans que le fait en question n'eût été annoncé antérieurement. Ce grief recouvre implicitement le moyen déduit de la violation du droit d'être entendu, sanctionnée par l'art. 411 let. h et i CPP (Bovay et alii, op. cit., n. 8.2 ad art. 411 CPP). b) En procédure pénale vaudoise, l'instruction principale faite aux débats est orale, de sorte que les déclarations qui y sont émises ne sont pas verbalisées. Le résultat de l'administration des preuves ne figure ainsi que dans l'état de fait du jugement. L'art. 320 al. 4 CPP prévoit expressément que les parties ont le droit de produire des pièces jusqu'à la clôture de l'instruction. c) En l'espèce, l 'admission du moyen de preuve incriminé n'est donc contraire à aucune règle de la procédure pénale. La production de la pièce incriminée (photocopie du passeport) est au demeurant mentionnée au procès-verbal. La recourante, assistée par son conseil, était présente à l'audience. Il lui était donc loisible de consulter la pièce produite. A supposer qu'elle n'ait pas fait usage de cette faculté, elle ne saurait s'en plaindre et prétendre à une violation de son droit d'être entendue. Ce moyen doit donc être rejeté. 2.2 La recourante se plaint ensuite de ce que le conseil du plaignant ait fait allusion à une affaire tranchée par le même juge, laquelle concernait déjà une chute dans les escaliers; cette décision n'aurait pas été communiquée à l'accusée. En outre, le sourire de la présidente à cette occasion, qualifié d'appuyé, témoignerait d'une connivence entre l'avocat et le magistrat. Pourtant, rien n'interdit à une partie, par son conseil, de se référer à un précédent jurisprudentiel, même tranché par le magistrat devant lequel elle comparaît; aussi bien, un président peut sourire à l'évocation d'un rappel sans pour autant que ce comportement soit la preuve d'un parti pris. Au demeurant, les faits invoqués ne sont pas établis et l'intéressée n'a, au vu du procès-verbal, pas protesté à l'audience. 2.3 La recourante paraît enfin faire grief au tribunal de police d'avoir motivé l'acquittement d'L.________ du chef d'accusation de lésions corporelles sur sa personne par le fait qu'un faux dans les titres avait été retenu auparavant à son encontre. Par la jonction des deux causes pour qu'elles fassent l'objet d'une instruction et d'un jugement communs, il y aurait ainsi, selon la recourante, eu abus du pouvoir d'appréciation de la part du premier juge pour ce qui est de l'origine des lésions corporelles. Il est exact que le jugement, pour ce qui est de l'appréciation des faits, établit un lien entre le faux dans les titres imputé à la recourante et la libération du co-accusé, ce dans la mesure où, selon l'autorité de première instance, l'existence de la reconnaissance de dette contrefaite par l'intéressée infirmait la justification d'un troisième passage au domicile de son ex-ami le 16 septembre 2006 , puisque que le prétendu original du titre qu'elle allègue être venue chercher ne pouvait exister. Cette appréciation n'est en rien arbitraire. Au demeurant, c'est pour d'autres motifs également, énoncés dans le jugement et auxquels soit renvoi, que le tribunal de police a rejeté le version de la plaignante selon laquelle elle aurait effectué un troisième passage à l'appartement de son ex-ami. 2.4 Pour le surplus, la recourante ne fait qu'opposer sa version des faits à celle de l'autorité de première instance. Dans cette mesure, ses moyens sont purement appellatoires et, partant, sans pertinence. Le recours en nullité doit donc être rejeté. 3.1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3.2 La recourante fait d'abord valoir que le plaignant n'est responsable de sa chute que dans la mesure où le fait dommageable serait survenu en raison de "la brutalité de la rupture et (du) comportement" de l'intéressé. En d'autres, termes, ce serait sous le coup de l'émotion qu'elle serait tombée, de son propre fait. La chute serait survenue en un lieu indéterminé, qui peut avoir été l'escalier de son propre logement plutôt que de celui d'L.________. Il s'ensuit, selon elle, que l'intéressé ne serait responsable du dommage que civilement, à l'exclusion de toute infraction pénale, ce qu'il y aurait lieu de constater. Ce faisant, la recourante se limite à présenter une nouvelle version des faits allégués, que rien n'étaye matériellement. Bien plutôt, il a été vu que l'appréciation du tribunal de police n'est nullement entachée d'arbitraire. Ses conclusions constatatoires ne peuvent donc qu'être rejetées. 3.3 La recourante fait ensuite valoir qu'elle n'avait jamais eu le dessein d'utiliser le document contrefait au préjudice d'L.________, à telle enseigne que l'un des éléments constitutifs de la définition du faux dans les titres ferait défaut. Ce moyen est infirmé par la seule circonstance que le document falsifié a été produit en justice par la recourante elle-même à l'appui d'une plainte pénale dirigée contre son ex-ami, à son propre profit et au détriment de l'intéressé. Ce comportement constitue l'usage d'un titre faux au sens de l'art. 251 ch. 1 CP. 3.4 Enfin, la recourante fait valoir que la peine est arbitrairement sévère.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arrêt 6B_207/2007, du 6 septembre 2007, ad Chambre pénale de la Cour de justice du canton de Genève du 23 avril 2007) . c) En l'espèce, le premier juge a retenu, à charge, la méchanceté de l'esprit revanchard de l'accusée qui l'a amenée à porter de fausses accusations contre son ex-ami; à décharge ont été pris en compte l'absence d'antécédents de l'intéressée et l'état dépressif dans lequel elle se trouvait lors des faits. Ce faisant, le tribunal n'a pas tenu compte d'éléments étrangers à l'art. 47 CP. Ceux pris en compte sont complets et pertinents. La peine prononcée se situe dans le cadre légal. Elle n'apparaît pas arbitrairement sévère. Au surplus, le montant du jour-amende n'est pas contesté en tant que tel et, vérifié d'office, s'avère avoir été fixé conformément à l'art. 34 al. 2 CP. Il s'ensuit que le recours en réforme doit être rejeté à l'instar du recours en nullité.</w:t>
      </w:r>
    </w:p>
    <w:p>
      <w:r>
        <w:rPr>
          <w:b/>
        </w:rPr>
        <w:t>E. 4</w:t>
      </w:r>
    </w:p>
    <w:p>
      <w:r>
        <w:t>En conclusion, le recours doit être rejeté en application de l'art. 431 al. 2 CPP. Le jugement est confirmé. Vu l'issue du recours, les frais de deuxième instance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