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262 vom 20. April 2009</w:t>
      </w:r>
    </w:p>
    <w:p>
      <w:r>
        <w:t>VD Tribunal cantonal, 2009-04-20, FR</w:t>
      </w:r>
    </w:p>
    <w:p>
      <w:r>
        <w:rPr>
          <w:b/>
        </w:rPr>
        <w:t xml:space="preserve">Quelle: </w:t>
      </w:r>
      <w:r>
        <w:t>https://mcp.opencaselaw.ch/entscheid/vd_findinfo_HC___2009___262</w:t>
      </w:r>
    </w:p>
    <w:p>
      <w:r>
        <w:t>FR: VD_FINDINFO HC / 2009 / 262 du 20 avril 2009</w:t>
      </w:r>
    </w:p>
    <w:p>
      <w:r>
        <w:t>IT: VD_FINDINFO HC / 2009 / 262 del 20 aprile 2009</w:t>
      </w:r>
    </w:p>
    <w:p>
      <w:pPr>
        <w:pStyle w:val="Heading2"/>
      </w:pPr>
      <w:r>
        <w:t>Regeste</w:t>
      </w:r>
    </w:p>
    <w:p>
      <w:r>
        <w:t>FIXATION DE L'AMENDE, MINIMUM VITAL | 34 ch. 1 CP, 34 ch. 2 CP, 411 let. h CPP, 411 let. i CPP, 415 CPP</w:t>
      </w:r>
    </w:p>
    <w:p>
      <w:pPr>
        <w:pStyle w:val="Heading2"/>
      </w:pPr>
      <w:r>
        <w:t>Erwägungen</w:t>
      </w:r>
    </w:p>
    <w:p>
      <w:r>
        <w:rPr>
          <w:b/>
        </w:rPr>
        <w:t>E. 1</w:t>
      </w:r>
    </w:p>
    <w:p>
      <w:r>
        <w:t>Aux termes de l'art. 425 al. 2 let. b et c CPP, le mémoire de recours doit contenir les conclusions en réforme ou en nullité, ainsi que les motifs à l'appui de ces dernières. Le fait qu'un recourant ne dépose pas de mémoire ne conduit pas nécessairement à l'irrecevabilité de son recours. En effet, lorsqu'à défaut de mémoire, la déclaration de recours est sommairement motivée et permet de constater la nature du recours, les conclusions et les motifs du recourant, le recours est recevable. Pour que des conclusions soient réputées exprimées, il suffit que la modification souhaitée ressorte suffisamment des moyens invoqués; des conclusions explicites ne sont pas indispensables (Besse-Matile et Abravanel, Aperçu de jurisprudence sur les voies de recours à la Cour de cassation pénale du Tribunal cantonal vaudois, JT 1989 III 98, spéc. p. 107; Bersier, Le recours à la Cour de cassation pénale du Tribunal cantonal en procédure vaudoise, JT 1996 III 66). Selon une jurisprudence constante, la Cour de cassation détermine la nature du recours d'après la question soulevée et les moyens invoqués, et non pas selon les termes inadéquats que le recourant a pu utiliser dans son acte de recours (Bovay, Dupuis, Monnier, Moreillon et Piguet, Procédure pénale vaudoise, Code annoté,</w:t>
      </w:r>
    </w:p>
    <w:p>
      <w:r>
        <w:rPr>
          <w:b/>
        </w:rPr>
        <w:t>E. 3</w:t>
      </w:r>
    </w:p>
    <w:p>
      <w:r>
        <w:t>Sous l'angle de la réforme, la recourante conteste à tout le moins la mesure de la peine, excipant de son impécuniosité. a) A teneur de l'art. 34 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b) Pour déterminer le revenu, le juge doit prendre en considération l'ensemble des revenus en tout genre (revenus de l'activité lucrative, de rentes ou de pensions, de placements de capitaux, de la fortune immobilière, prestations en nature, etc.). Il doit ensuite déduire les contributions sociales, les impôts, les primes d'assurance-maladie et accidents, les frais professionnels et les frais indispensables à l'exercice de la profession. Il est également prescrit de tenir compte des obligations d'assistance - en particulier familiales - du condamné (Maire, Les peines pécuniaires, in Kuhn, Moreillon, Viredaz et Bichovsky, La nouvelle partie générale du Code pénal suisse, Berne 2006, p. 165). Il ressort également du Message du Conseil fédéral, d'une part, que le montant du jour-amende ne doit pas correspondre à la part du revenu qui reste à l'auteur une fois déduit le minimum vital du droit des poursuites et, d'autre part, que la nouvelle réglementation doit en principe permettre d'infliger à tout auteur une peine pécuniaire correspondant à ce que l'auteur a les moyens de payer et à ce qui peut raisonnablement être exigé de lui, compte tenu des longs délais de paiement et de la possibilité de paiement par acomptes (FF 1999, p. 1787, spéc. p. 1826).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la fixation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(cf. TF, arrêt 6B_217/2007 du 14 avril 2008, c. 2.1.5 et les références citées, BJP 2007 n°190; Cass., M., 18 juin 2007, n°150; Cass., Ministère public c. M., du 18 février 2008, n° 68 ). Le Tribunal fédéral a de ce fait fixé le montant minimum du jour-amende à 10 fr. (TF, arrêt 6B_769/2008, du 18 juin 2009, ad Cass. du 28 avril 2008, destiné à la publication). c) En l'espèce la peine est de 30 jours-amende à 40 fr. Les revenus mensuels globaux de l'accusée, par 2'354 fr. au moment du jugement, étaient alors grevés de charges à hauteur de quelque 672 fr., montant auquel s'ajoutent 775 fr. de frais forfaitaires d'entretien et de nourriture. Le solde subsistant est donc de plus de 900 fr. La quotité de la peine, fixée en application du nouveau droit au titre de la lex mitior , est ainsi adaptée à l'aune du disponible de l'accusée, compte tenu des dépenses courantes de l'intéressée, dont la fixation échappe à toute critique. Le recours en réforme doit donc être rejeté à l'instar du recours en nullité.</w:t>
      </w:r>
    </w:p>
    <w:p>
      <w:r>
        <w:rPr>
          <w:b/>
        </w:rPr>
        <w:t>E. 4</w:t>
      </w:r>
    </w:p>
    <w:p>
      <w:r>
        <w:t>En conclusion, le recours doit être rejeté en application de l'art. 431 al. 2 CPP. Le jugement est confirmé. Vu l'issue du recours, les frais de deuxième instance sont mis à la charge de la recourante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