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260 vom 27. Mai 2009</w:t>
      </w:r>
    </w:p>
    <w:p>
      <w:r>
        <w:t>VD Tribunal cantonal, 2009-05-27, FR</w:t>
      </w:r>
    </w:p>
    <w:p>
      <w:r>
        <w:rPr>
          <w:b/>
        </w:rPr>
        <w:t xml:space="preserve">Quelle: </w:t>
      </w:r>
      <w:r>
        <w:t>https://mcp.opencaselaw.ch/entscheid/vd_findinfo_HC___2009___260</w:t>
      </w:r>
    </w:p>
    <w:p>
      <w:r>
        <w:t>FR: VD_FINDINFO HC / 2009 / 260 du 27 mai 2009</w:t>
      </w:r>
    </w:p>
    <w:p>
      <w:r>
        <w:t>IT: VD_FINDINFO HC / 2009 / 260 del 27 maggio 2009</w:t>
      </w:r>
    </w:p>
    <w:p>
      <w:pPr>
        <w:pStyle w:val="Heading2"/>
      </w:pPr>
      <w:r>
        <w:t>Regeste</w:t>
      </w:r>
    </w:p>
    <w:p>
      <w:r>
        <w:t>FIXATION DE LA PEINE, PEINE PRIVATIVE DE LIBERTÉ, RECEL | 47 CP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 er CPP). Elle est cependant liée par les faits constatés dans le jugement attaqué, sous réserve des inadvertances manifestes qu'elle rectifie d'office (art. 447 al. 2 CPP).</w:t>
      </w:r>
    </w:p>
    <w:p>
      <w:r>
        <w:rPr>
          <w:b/>
        </w:rPr>
        <w:t>E. 2</w:t>
      </w:r>
    </w:p>
    <w:p>
      <w:r>
        <w:t>a) Le Ministère public considère que la peine infligée à B.________ est arbitrairement clémente. Il fait valoir que les antécédents du condamné ainsi que son rôle actif et fourbe dans la commission de l'infraction justifient, au vu de la condamnation prévue par l'art. 160 CP, une peine de deux ans. En outre, il met en exergue le montant en jeu. b) A teneur de l'art. 47 CP, le juge fixe la peine d'après la culpabilité de l'auteur. Il prend en considération les antécédents et la situation personnelle de ce dernier ainsi que l'effet de la peine sur son avenir (al. 1 er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l'alinéa 2 de l'art.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 résultat de l'activité illicite », ainsi que le caractère répréhensible de l'acte, qui correspond plus ou moins à la notion « de mode et d'exécution de l'acte » envisagée par la jurisprudence (arrêt du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(cf. not. ATF 122 IV 156, consid. 3b; ATF 118 IV 21, consid. 2a). Il n'appartient ainsi pas à la Cour de cassation de revoir la mesure de la peine selon sa propre appréciation: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(Bovay, Dupuis, Monnier, Moreillon et Piguet, Procédure pénale vaudoise, 3 ème éd., Bâle 2008, n. 1.4 ad art. 415 CPP et les réf. cit.; ATF 129 IV 6; ATF 122 IV 156).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Dupuis, Monnier, Moreillon et Piguet, op. cit., n. 4.2 ad art. 415 CPP, p. 502). c) Dans le cas particulier, les premiers juges ont constaté que B.________ s'était rendu coupable de recel, faux dans les titres et infraction à la LSEE. Ils l'ont de facto libéré des accusations de gestion déloyale, subsidiairement abus de confiance, de violation d'une obligation de tenir une comptabilité et, faute de concours possible avec le recel retenu, de blanchiment d'argent. L'infraction la plus grave est donc le recel. Cette opération a consisté dans la négociation en vue d'encaissement d'obligations de la banque [...], d'une valeur totale de 3'000'000 d'euros et de 700'000 florins, provenant d'un vol. L'accusé a signé les documents pour l'ouverture d'un compte auprès de la banque [...] et signé un formulaire indiquant qu'il était le seul ayant droit économique des obligations. Il s'est fait accompagner d'un expert-comptable et commissaire aux comptes à Nantes, dans le but d'accréditer le fait qu'il était issu d'une famille ayant une grande surface financière. La culpabilité détermine la peine au premier chef. Les premiers juges se sont prononcés de manière détaillée sur cette question (jugement, consid. 3, p. 14). Ils ont exposé en quoi la culpabilité de B.________ était lourde ainsi que les éléments qu'ils retenaient à décharge. Leur appréciation n'appelle aucune critique. Ils ont notamment constaté que B.________ travaille, remplit ses obligations, a fait l'effort de venir d'Inde pour participer aux débats, est socialisé, a 62 ans et n'est pas en excellente santé. En outre, B.________ a, depuis le début de cette affaire, purgé toutes ses peines en France, et ceci même après la détention préventive subie ici Pour ce qui est du mode opératoire, certes, les agissements de B.________ étaient assez torves. Mais ils étaient également risqués, dès lors qu'il y avait de fortes chances qu'un encaissement d'obligations pour plus de 3'000'000 d'euros engendre quelque vérification sérieuse. Il est vrai que B.________ et son compère étaient passés dans deux établissements bancaires genevois auparavant. Mais ceux-ci n'avaient contrôlé que les numéros des obligations, apparemment dans le cadre d'une vérification limitée à l'authenticité des documents. Enfin, il n'y a pas eu dommage. Bref, le tribunal a pris en compte les éléments dignes de considération pour la fixation de la peine. Cela comprend la valeur des obligations, le mode opératoire et les antécédents, mais ne s'y limite pas. Les premiers juges ont procédé à une appréciation complète de la situation, sans aucun arbitraire. d) La solution retenue par les premiers juges apparaît d'autant plus adéquate qu'ils ont, à juste titre, exclu le sursis. Toutefois, on relève que c'est avant tout en raison de la condamnation pénale de 2001 en France que le sursis doit être refusé, en application de l'art. 42 al. 2 CP. Comme le relève le Ministère public, le jugement français vaut condamnation au sens de cette disposition.</w:t>
      </w:r>
    </w:p>
    <w:p>
      <w:r>
        <w:rPr>
          <w:b/>
        </w:rPr>
        <w:t>E. 3</w:t>
      </w:r>
    </w:p>
    <w:p>
      <w:r>
        <w:t>Compte tenu de ce qui précède, le recours doit être rejeté et les frais de deuxième instance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