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255 vom 25. September 2009</w:t>
      </w:r>
    </w:p>
    <w:p>
      <w:r>
        <w:t>VD Tribunal cantonal, 2009-09-25, FR</w:t>
      </w:r>
    </w:p>
    <w:p>
      <w:r>
        <w:rPr>
          <w:b/>
        </w:rPr>
        <w:t xml:space="preserve">Quelle: </w:t>
      </w:r>
      <w:r>
        <w:t>https://mcp.opencaselaw.ch/entscheid/vd_findinfo_HC___2009___255</w:t>
      </w:r>
    </w:p>
    <w:p>
      <w:r>
        <w:t>FR: VD_FINDINFO HC / 2009 / 255 du 25 septembre 2009</w:t>
      </w:r>
    </w:p>
    <w:p>
      <w:r>
        <w:t>IT: VD_FINDINFO HC / 2009 / 255 del 25 settembre 2009</w:t>
      </w:r>
    </w:p>
    <w:p>
      <w:pPr>
        <w:pStyle w:val="Heading2"/>
      </w:pPr>
      <w:r>
        <w:t>Regeste</w:t>
      </w:r>
    </w:p>
    <w:p>
      <w:r>
        <w:t>MESURE DE CONTRAINTE{DROIT DES ÉTRANGERS}, INTERDICTION DE PÉNÉTRER DANS UNE ZONE | 74 LEtr</w:t>
      </w:r>
    </w:p>
    <w:p>
      <w:pPr>
        <w:pStyle w:val="Heading2"/>
      </w:pPr>
      <w:r>
        <w:t>Erwägungen</w:t>
      </w:r>
    </w:p>
    <w:p>
      <w:r>
        <w:rPr>
          <w:b/>
        </w:rPr>
        <w:t>E. 1</w:t>
      </w:r>
    </w:p>
    <w:p>
      <w:r>
        <w:t>er janvier 2008 [ROTC; RSV 173.31.1]). La Chambre des recours revoit librement la décision de première instance; elle établit d'office les faits et peut ordonner à cet effet toutes les mesures d'instruction qu'elle juge utiles (art. 31 al. 1 et 2 LVLEtr). Interjeté en temps utile par le recourant, qui a un intérêt à procéder, le recours est recevable (art. 30 al. 2 LVLEtr). b) La juge de paix, autorité compétente en vertu de l'article 13 LVLEtr, a procédé à l'audition du recourant le jour même de son interpellation, le 28 août 2009; elle a immédiatement rendu et notifié en mains propres du recourant une ordonnance d'interdiction de périmètre. La procédure suivie par la première juge a par conséquent été régulière.</w:t>
      </w:r>
    </w:p>
    <w:p>
      <w:r>
        <w:rPr>
          <w:b/>
        </w:rPr>
        <w:t>E. 2</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a déposé une requête d'asile et réside dans un centre d'accueil de migrants à Nyon (EVAM) Selon le rapport de la police lausannoise du 28 août 2009, il a été interpellé dans des circonstances qui rendent vraisemblables son implication dans le trafic de stupéfiants, nonobstant ses dénégations. Ainsi, les policiers l'ont vu introduire dans sa bouche et avaler des boulettes, manifestement pour soustraire cette marchandise, pièce à conviction, à une saisie incriminante. Ses explications sur le fait qu'il s'était muni de billets mentionnant son numéro de téléphone parce qu'il manque de mémoire ne sont pas crédibles, alors qu'il s'agit, selon le rapport de police au dossier, d'une pratique habituelle des dealers de rue. Enfin, s'ajoute à ces éléments de preuve sa présence à une heure avancée de la nuit dans une rue connue pour abriter des transactions illicites de drogue. Les conditions d'application de l'art. 74 al. 1 let. a LEtr sont donc réalisées. Une mesure d'interdiction de pénétrer dans le territoire de la ville de Lausanne est proportionnée : le recourant, qui se borne à contester les soupçons de trafic de stupéfiants dont il est l'objet, ne fait valoir aucun intérêt important à se rendre dans la capitale vaudoise en particulier, tandis qu'il y a un intérêt public certain à éviter qu'il ne se livre à du trafic de stupéfiants dans cette ville. De plus, en application de l'art. 14 LVLEtr, il pourra demander au SPOP de lui délivrer des laissez-passer ponctuels pour pénétrer dans la région interdite, notamment pour effectuer une démarche administrative ou pour des raisons médicales.</w:t>
      </w:r>
    </w:p>
    <w:p>
      <w:r>
        <w:rPr>
          <w:b/>
        </w:rPr>
        <w:t>E. 3</w:t>
      </w:r>
    </w:p>
    <w:p>
      <w:r>
        <w:t>En conclusion, le recours doit être rejeté et l'ordonnance confirmée. L'arrêt peut être rendu sans frais. Par ces motifs, la Chambre des recours du Tribunal cantonal, statuant à huis clos, prononce : I. Le recours est rejeté . II. L'ordonnance est confirmée . III. L'arrêt est rendu sans frais. IV. L'arrêt motivé est exécutoire. Le président : La greffière : Du 25 septembre 2009 Le dispositif de l'arrêt qui précède est communiqué par écrit aux intéressés. La greffière : Du L'arrêt qui précède, dont la rédaction a été approuvée à huis clos, est notifié en expédition complète, par l'envoi de photocopies, à : ‑      M . E.________,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