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241 vom 22. Juli 2009</w:t>
      </w:r>
    </w:p>
    <w:p>
      <w:r>
        <w:t>VD Tribunal cantonal, 2009-07-22, FR</w:t>
      </w:r>
    </w:p>
    <w:p>
      <w:r>
        <w:rPr>
          <w:b/>
        </w:rPr>
        <w:t xml:space="preserve">Quelle: </w:t>
      </w:r>
      <w:r>
        <w:t>https://mcp.opencaselaw.ch/entscheid/vd_findinfo_HC___2009___241</w:t>
      </w:r>
    </w:p>
    <w:p>
      <w:r>
        <w:t>FR: VD_FINDINFO HC / 2009 / 241 du 22 juillet 2009</w:t>
      </w:r>
    </w:p>
    <w:p>
      <w:r>
        <w:t>IT: VD_FINDINFO HC / 2009 / 241 del 22 luglio 2009</w:t>
      </w:r>
    </w:p>
    <w:p>
      <w:pPr>
        <w:pStyle w:val="Heading2"/>
      </w:pPr>
      <w:r>
        <w:t>Regeste</w:t>
      </w:r>
    </w:p>
    <w:p>
      <w:r>
        <w:t>APPRÉCIATION DES PREUVES, RESPONSABILITÉ DU PROPRIÉTAIRE D'OUVRAGE, FAUTE PROPRE, CAUSALITÉ ADÉQUATE, LIEN DE CAUSALITÉ | 53 al. 1 CO, 58 al. 1 CO, 452 al. 1ter CPC, 452 al. 2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Le recourant conclut à l'annulation du jugement entrepris. Il estime que le premier juge a apprécié arbitrairement les preuves en écartant le témoignage de H.________. La cour de céans disposant d'un large pouvoir d'examen dans le cadre du recours en réforme (art. 452 et 456a CPC), elle revoit librement l'appréciation d'un témoignage dont la substance a été, comme en l'espèce, verbalisée dans le jugement. Le recours en nullité, voie de droit subsidiaire (Poudret/Haldy/Tappy, Procédure civile vaudoise, 3 ème éd., Lausanne 2002, n. 14 ad art. 444 CPC, pp. 655-656), est par conséquent irrecevable et il convient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a) Le recourant reproche au premier juge d'avoir «purement et simplement» écarté le témoignage de H.________, personne la mieux à même de décrire la situation. b) Selon ce témoin, la dimension de la conduite est insuffisante, de sorte qu'elle se bouche régulièrement, avec pour conséquence que de l'eau, ainsi que du calcaire et du limon, s'écoulent sur la route et rendent celle-ci glissante à l'endroit où l'accident en cause s'est produit (jgt, pp. 5 et 9). Contrairement à ce que soutient le recourant, le président du tribunal n'a pas écarté ce témoignage, mais a estimé qu'en l'absence de tout autre élément, il était insuffisant pour apporter la preuve d'un vice de construction ou d'un défaut d'entretien (jgt, p. 9). En outre, c'est avec raison que le premier juge a considéré que H.________, qui est le chef de culture du Domaine [...], n'avait pas les compétences techniques pour se prononcer sur l'insuffisance ou la suffisance de la dimension de la conduite. Une telle insuffisance n'a pas été établie et il se peut que la conduite se soit bouchée à la suite des violents orages avec fortes précipitations ayant eu lieu les jours précédents (cf. jgt, p. 2), provoquant ainsi un écoulement d'eau et de limon sur la chaussée. C'est également à bon droit que, par rapport aux affirmations du témoin précité selon lesquelles la conduite s'obstruait régulièrement, le président du tribunal a estimé qu'il n'était pas renseigné avec précision sur la fréquence des contrôles des conduites effectués par l'intimée, mais a relevé que celle-ci mandatait de façon régulière la société du témoin F.________ pour procéder au curage des canalisations, veillant ainsi à tout le moins à son devoir d'entretien usuel (jgt, p. 9 s.). L'appréciation du témoignage de H.________ faite par le premier juge ne prête ainsi pas le flanc à la critique et le recours doit être rejeté sur ce point.</w:t>
      </w:r>
    </w:p>
    <w:p>
      <w:r>
        <w:rPr>
          <w:b/>
        </w:rPr>
        <w:t>E. 5</w:t>
      </w:r>
    </w:p>
    <w:p>
      <w:r>
        <w:t>Le recourant estime que la responsabilité de l'intimée en tant que propriétaire d'ouvrage est engagée. Après avoir rappelé que la preuve de l'existence d'un vice de construction ou d'un défaut d'entretien de l'ouvrage incombe à celui qui invoque l'art. 58 CO, le premier juge a estimé que ni l'un ni l'autre n'étaient établis en l'espèce (jgt, p. 9 s.). L'écoulement d'eau et de limon sur la chaussée le jour de l'accident étant survenu le surlendemain de chutes d'eau exceptionnelles et inhabituellement fortes, la considération du président du tribunal est adéquate. En effet, dit écoulement peut, avec une grande vraisemblance, avoir été la conséquence de ces conditions météorologiques extraordinaires et non celle d'un défaut de construction ou d'entretien de la canalisation en cause. Mal fondé, le recours doit être rejeté sur ce point également.</w:t>
      </w:r>
    </w:p>
    <w:p>
      <w:r>
        <w:rPr>
          <w:b/>
        </w:rPr>
        <w:t>E. 6</w:t>
      </w:r>
    </w:p>
    <w:p>
      <w:r>
        <w:t>a) Le recourant soutient enfin qu'il n'a pas commis de faute concomitante, invoquant notamment le prononcé libératoire rendu en sa faveur par le préfet. b) Selon l'art. 53 al. 1 CO, le juge civil n'est pas lié par l'acquittement prononcé au pénal. Le fait que le préfet ait, dans un premier temps, retenu à la charge du recourant une perte de maîtrise de son véhicule et une vitesse inadaptée aux conditions de la route, puis l'ait, dans un second temps, libéré de toute infraction n'est ainsi pas déterminant en l'espèce. c) Après avoir procédé à une inspection locale, le premier juge a estimé que les conditions de visibilité étaient bonnes, la route sur laquelle s'est produit l'accident étant pratiquement rectiligne devant les bâtiments du Domaine [...]. Il a retenu que le recourant était domicilié à Chexbres, qu'il connaissait les lieux et savait que ce tronçon de route était régulièrement glissant (jgt, pp. 4 et 10). C'est dès lors à bon droit que le président du tribunal a considéré que si le recourant a été surpris par l'écoulement d'eau sur ce tronçon, c'est qu'il n'a pas voué toute son attention à la route ni adapté sa vitesse aux conditions de celle-ci, commettant ainsi une faute qui a rompu le lien de causalité adéquate entre le défaut d'entretien ou le vice de construction de la canalisation - à condition qu'il soit établi - et l'accident. Le jugement entrepris ne prête ainsi pas le flanc à la critique dans la mesure où il rejette les prétentions du recourant et il n'est nul besoin d'examiner si l'intimée a bien la légitimation active dans le présent litige (cf. jgt, p. 7).</w:t>
      </w:r>
    </w:p>
    <w:p>
      <w:r>
        <w:rPr>
          <w:b/>
        </w:rPr>
        <w:t>E. 7</w:t>
      </w:r>
    </w:p>
    <w:p>
      <w:r>
        <w:t>En conclusion, le recours doit être rejeté, en application de l'art. 465 al. 1 CPC, et le jugement confirmé. Les frais de deuxième instance du recourant sont arrêtés à 413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B.________ sont arrêtés à 413 fr. (quatre cent treize francs). IV.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Me Pierre-Alexandre Schlaeppi (pour B.________), ‑      Me Jean-Michel Henny (pour Commune de G.________). La Chambre des recours considère que la valeur litigieuse est de 11'302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