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239 vom 11. September 2009</w:t>
      </w:r>
    </w:p>
    <w:p>
      <w:r>
        <w:t>VD Tribunal cantonal, 2009-09-11, FR</w:t>
      </w:r>
    </w:p>
    <w:p>
      <w:r>
        <w:rPr>
          <w:b/>
        </w:rPr>
        <w:t xml:space="preserve">Quelle: </w:t>
      </w:r>
      <w:r>
        <w:t>https://mcp.opencaselaw.ch/entscheid/vd_findinfo_HC___2009___239</w:t>
      </w:r>
    </w:p>
    <w:p>
      <w:r>
        <w:t>FR: VD_FINDINFO HC / 2009 / 239 du 11 septembre 2009</w:t>
      </w:r>
    </w:p>
    <w:p>
      <w:r>
        <w:t>IT: VD_FINDINFO HC / 2009 / 239 del 11 settembre 2009</w:t>
      </w:r>
    </w:p>
    <w:p>
      <w:pPr>
        <w:pStyle w:val="Heading2"/>
      </w:pPr>
      <w:r>
        <w:t>Regeste</w:t>
      </w:r>
    </w:p>
    <w:p>
      <w:r>
        <w:t>POUVOIR D'EXAMEN, CONSTATATION DES FAITS, DROIT D'ÊTRE ENTENDU, URGENCE, REPRÉSENTANT DE LA COMMUNAUTÉ HÉRÉDITAIRE, AUTORITÉ DE SURVEILLANCE | 602 al. 3 CC, 602 CC, 489 CPC, 584 CPC, 586 al. 1 CPC, 586 CPC, 29 al. 2 Cst., 29 Cst.</w:t>
      </w:r>
    </w:p>
    <w:p>
      <w:pPr>
        <w:pStyle w:val="Heading2"/>
      </w:pPr>
      <w:r>
        <w:t>Erwägungen</w:t>
      </w:r>
    </w:p>
    <w:p>
      <w:r>
        <w:rPr>
          <w:b/>
        </w:rPr>
        <w:t>E. 1</w:t>
      </w:r>
    </w:p>
    <w:p>
      <w:r>
        <w:t>L'art. 586 al. 1 CPC (Code de procédure civile du 14 décembre 1966; RSV 270.11) ouvre la voie du recours non contentieux contre les prononcés rendus par le président de tribunal d'arrondissement en application des dispositions du CPC figurant au chapitre relatif à l'action en partage (Poudret/Haldy/Tappy, Procédure civile vaudoise, 3 ème éd., 2002, n. 1 ad art. 586 CPC, p. 846), en particulier ceux rendus en application de l'art. 584 CPC (Poudret/Haldy/Tappy, op. cit. n. 2 ad art. 584 CPC, p. 845). Le recours, interjeté en temps utile, est ainsi recevable.</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 La doctrine admet que le représentant de la communauté héréditaire peut lui-même adresser des questions à l'autorité cantonale de surveillance et faire confirmer la légalité de ses actions (Weibel, Erbrecht Praxiskommentar, Abt/Weibel Hrsg; 2007, n. 80 ad art. 602 CC, p. 1219; Schaufelberger/Keller, Basler Kommentar, 3 ème éd., 2007, n. 52 ad art. 602 CC, p. 677). En l'espèce, lorsque le représentant de la communauté héréditaire a saisi le premier juge d'une demande d'autorisation, il lui a adressé à une question au sens de la doctrine susmentionnée. Dès lors que les parties n'ont pu se déterminer avant que le premier juge ne prenne la décision attaquée, il y a lieu de considérer que celle-ci n'a pas été prise sur recours au sens de l'art. 584 CPC. Quoi qu'il en soit, il n'est pas douteux que le recours devant la cour de céans est ouvert.</w:t>
      </w:r>
    </w:p>
    <w:p>
      <w:r>
        <w:rPr>
          <w:b/>
        </w:rPr>
        <w:t>E. 3</w:t>
      </w:r>
    </w:p>
    <w:p>
      <w:r>
        <w:t>Les recourants font grief au premier juge d'avoir rendu la décision attaquée sans les avoir entendus préalablement.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Bien qu'il soit qualifié d'"inconditionnel" (ATF 105 Ia 288 c. 2b), ce droit n'est pas absolu. L'urgence permet d'y déroger (TF 5P.322/2004 du 6 avril 2005 c. 3.1, SJ 2006 I 9; ATF 106 Ia 4 c. 2b/bb, JT 1982 I 130; Auer/Malinverni/ Hottelier, Droit constitutionnel suisse, vol. II, 2 ème éd., 2006, n° 1342, p. 613; Steinmann, in Die schweizerische Bundesverfassung Kommentar, Ehrenzeller/Mastronardi/Schweizer/ Vallender Hrsg, 2 ème éd., 2008, n. 25 ad art. 29 Cst., p. 592). Cette exception doit cependant n'être admise que de manière restrictive (SJ 2006 I 9 précité et référence). Le Tribunal fédéral a jugé que l'exception s'appliquait à l'apposition des scellés (SJ 2006 I 9 précité; SJ 1982, p. 381 c. 2b) et à l'instauration d'une administration d'office d'une succession, vu leur caractère de mesure de sûreté ayant pour but la conservation de celle-ci et le fait qu'elle peut être contestée devant l'autorité de surveillance (SJ 2006 I 9 précité c. 3.2). En l'espèce, la décision attaquée, lue en relation avec le courrier du notaire Bianchi du 15 mai 2009, vise à sauvegarder les immeubles compris dans la succession en les préservant d'une saisie. Vu son but, elle a le caractère d'une mesure de sûreté et a pu être discutée devant la cour de céans. Il y a donc lieu d'admettre, au regard de la jurisprudence susmentionnée, que la décision attaquée pouvait être prise sans entendre préalablement les parties, l'imputation des versements proposée par le notaire Bianchi étant au surplus de nature à préserver les droits successoraux des recourants. Au surplus, le droit d'être entendu des recourants a suffisamment été garanti lors de la procédure de recours. Le recours doit être rejeté sur ce point.</w:t>
      </w:r>
    </w:p>
    <w:p>
      <w:r>
        <w:rPr>
          <w:b/>
        </w:rPr>
        <w:t>E. 4</w:t>
      </w:r>
    </w:p>
    <w:p>
      <w:r>
        <w:t>Les recourants font valoir qu'il n'est pas démontré que le paiement des factures autorisé par le premier juge concerne des dettes exigibles et que le paiement des dettes de l'intimée C.V.________ n'entre pas dans les compétences du représentant de la communauté héréditaire, constituant un partage anticipé. Ils soutiennent que, faute d'urgence, ils doivent être consultés avant le paiement des factures litigieuses et que les dettes de l'intimée C.V.________ ne constituent pas des dettes de la succession et n'ont pas à être payées par celle-ci. Aux termes de l'art. 602 al. 3 CC, à la demande de l'un des héritiers, l'autorité compétente peut désigner un représentant de la communauté héréditaire jusqu'au moment du partage. Selon la doctrine, la nomination d'un représentant de la communauté héréditaire a pour but de pallier la paralysie de celle-ci résultant de l'exigence l'unanimité lorsqu'il y a des divergences entre les héritiers, sans avoir besoin de recourir à la procédure de partage (Piotet, Droit successoral, Traité de droit privé suisse, tome IV; 1975, p. 591; Tuor/Picenoni, Berner Kommentar, 1964, n. 46 ad art. 602 CC, p. 832; Schaufelberger/Keller, Basler Kommentar, 3 ème éd., 2007, n. 46 ad art. 602 CC, p. 676). Les compétences du représentant de la communauté héréditaire sont essentiellement conservatoires : il s'agit de la gestion des affaires courantes de la succession et des rapports avec les tiers (Piotet, op. cit., p. 592; Schaufelberger/Keller, op. cit., n. 47 ad art. 602 CC, p. 676; Escher, Zürcher Kommentar, 1960, n. 81 ad art. 602 CC, p. 412). En l'espèce, il ressort de la requête de Me Bianchi du 15 mai 2009 que les "factures concernant Mme C.V.________" correspondent à des charges des immeubles de Grandvaux et de Sainte Maxime, qui sont compris dans la succession et que l'intimée C.V.________ occupe ou dont elle a les clés. Il s'agit ainsi de sauvegarder la substance de ces immeubles, en évitant notamment la saisie pour celui de Sainte Maxime, sans que cela ne préjuge de la répartition finale de ces frais entre les héritiers. On se trouve donc dans le champ de compétence du représentant de la communauté héréditaire. Il est vrai qu'il se justifierait en théorie d'exiger de l'intimée C.V.________, afin de ne pas l'avantager, qu'elle verse à la communauté des héritiers un loyer pour les locaux qu'elle occupe ou dont elle détient les clés (cf. ATF 101 II 36, JT 1976 I 159). Toutefois, cette question sort du cadre du recours et de telles dispositions compliqueraient sérieusement la tâche du représentant de la communauté héréditaire et impliqueraient éventuellement de gérer un conflit entre héritiers, alors qu'un rapport au sujet du partage a d'ores et déjà été établi et que l'immeuble de Sainte Maxime est offert à la vente; une liquidation peut être ainsi escomptée dans un délai raisonnable, à l'issue de laquelle l'égalité entre héritiers pourra être rétablie, les biens de la succession étant à cet égard suffisants, quitte à ce que l'avance reçue par C.V.________ sous forme d'une dispense de loyer lui soit le cas échéant imputée avec un intérêt usuel. La décision attaquée se justifie dès lors également pour des motifs pratiques. Il convient toutefois de préciser que l'autorisation en cause ne vise que le paiement des factures relatives aux charges des immeubles, ainsi que cela ressort clairement du courrier de Me Bianchi du 15 mai 2009 et non pas les facture personnelles de C.V.________. Le recours doit être rejeté sur ce point.</w:t>
      </w:r>
    </w:p>
    <w:p>
      <w:r>
        <w:rPr>
          <w:b/>
        </w:rPr>
        <w:t>E. 5</w:t>
      </w:r>
    </w:p>
    <w:p>
      <w:r>
        <w:t>En conclusion, le recours doit être rejeté et le jugement confirmé. Les frais de deuxième instance des recourants sont arrêtés à 500 fr. (art. 236 TFJC; tarif du 4 décembre 1984 des frais judiciaires en matière civile; RSV 270.11.5). Obtenant gain de cause, les intimés ont droit à des dépens de deuxième instance, fixés à 800 fr. (art. 91 et 92 CPC; art. 2 al. 1 ch. 33, art. 3 et 5 ch. 2 TAv; tarif du 17 juin 1986 des honoraires d'avocat dus à titre de dépens; RSV 177.11.3). Par ces motifs, la Chambre des recours du Tribunal cantonal, statuant à huis clos, prononce : I. Le recours est rejeté. II. La décision est confirmée. III. Les frais de deuxième instance des recourants sont arrêtés à 500 fr. (cinq cents francs). IV. Les recourant N.________, A.V.________ et B.V.________, solidairement entre eux, doivent verser aux intimés C.V.________, D.V.________ et E.V.________, créanciers solidaires, la somme de 800 fr. (huit cents francs) à titre de dépens de deuxième instance. V. L'arrêt motivé est exécutoire. L e président : L e greffi er : Du 11 septembre 2009 Le dispositif de l'arrêt qui précède est communiqué par écrit aux intéressés. L e greffi er : Du L'arrêt qui précède, dont la rédaction a été approuvée à huis clos, est notifié en expédition complète, par l'envoi de photocopies, à : ‑      Me Alain Thévenaz (pour N.________, A.V.________ et B.V.________), ‑      Me Jacques-Henri Bron (pour C.V.________, D.V.________ et E.V.________). La Chambre des recours considère que la valeur litigieuse est inférieure à 30 '000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