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218 vom 4. September 2009</w:t>
      </w:r>
    </w:p>
    <w:p>
      <w:r>
        <w:t>VD Tribunal cantonal, 2009-09-04, FR</w:t>
      </w:r>
    </w:p>
    <w:p>
      <w:r>
        <w:rPr>
          <w:b/>
        </w:rPr>
        <w:t xml:space="preserve">Quelle: </w:t>
      </w:r>
      <w:r>
        <w:t>https://mcp.opencaselaw.ch/entscheid/vd_findinfo_HC___2009___218</w:t>
      </w:r>
    </w:p>
    <w:p>
      <w:r>
        <w:t>FR: VD_FINDINFO HC / 2009 / 218 du 4 septembre 2009</w:t>
      </w:r>
    </w:p>
    <w:p>
      <w:r>
        <w:t>IT: VD_FINDINFO HC / 2009 / 218 del 4 settembre 2009</w:t>
      </w:r>
    </w:p>
    <w:p>
      <w:pPr>
        <w:pStyle w:val="Heading2"/>
      </w:pPr>
      <w:r>
        <w:t>Regeste</w:t>
      </w:r>
    </w:p>
    <w:p>
      <w:r>
        <w:t>POUVOIR D'EXAMEN, CONSTATATION DES FAITS, EXPULSION DE LOCATAIRE, BAIL À LOYER, LOYER, DEMEURE, CALCUL DU DÉLAI, RECOURS JOINT, CONCLUSIONS | 257d al. 2 CO, 257d CO, 274g al. 1 CO, 274g al. 1 let. a CO, 274g CO, 78 CO, 466 CPC, 23 al. 2 LPEBL, 23 LPEBL</w:t>
      </w:r>
    </w:p>
    <w:p>
      <w:pPr>
        <w:pStyle w:val="Heading2"/>
      </w:pPr>
      <w:r>
        <w:t>Erwägungen</w:t>
      </w:r>
    </w:p>
    <w:p>
      <w:r>
        <w:rPr>
          <w:b/>
        </w:rPr>
        <w:t>E. 1</w:t>
      </w:r>
    </w:p>
    <w:p>
      <w:r>
        <w:t>L'art. 23 LPEBL (loi du 18 mai 1955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(al. 1). Les recourants invoquent, à l'appui de leur conclusion en nullité, l'abus du pouvoir d'appréciation en ce sens que le premier juge aurait retenu des faits en contradiction avec les pièces du dossier. Vu le pouvoir d'examen conféré à la cour de céans par l'art. 457 CPC, applicable par renvoi de l'art. 29 LPEBL dans le cadre du recours pour déni de justice et du recours en réforme, une éventuelle informalité sur ce point est susceptible d'être corrigée dans le cadre de ces recours, de sorte que ce moyen est irrecevable en nullité (Poudret/Haldy/Tappy, Procédure civile vaudoise, 3 ème éd., 2002, n. 14 ad art. 444 CPC, p. 655-656).</w:t>
      </w:r>
    </w:p>
    <w:p>
      <w:r>
        <w:rPr>
          <w:b/>
        </w:rPr>
        <w:t>E. 2</w:t>
      </w:r>
    </w:p>
    <w:p>
      <w:r>
        <w:t>L' art. 23 al. 2 LPEBL ouvre le recours au Tribunal cantonal pour déni de justice;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l'intimée a contesté le congé devant la commission de conciliation compétente. Le recours doit donc être examiné avec le pouvoir d'examen conféré par l'art. 457 CPC et non celui limité au déni de justice prévu à l'art. 23 LPEBL.</w:t>
      </w:r>
    </w:p>
    <w:p>
      <w:r>
        <w:rPr>
          <w:b/>
        </w:rPr>
        <w:t>E. 3</w:t>
      </w:r>
    </w:p>
    <w:p>
      <w:r>
        <w:t>Selon la jurisprudence, la voie du recours joint de l'art. 466 CPC n'est pas ouverte dans le cadre du recours pour déni de justice de l'art. 23 al. 2 LPEBL (Guignard, in Procédures spéciales vaudoises, 2008, n. 3 ad art. 23 LPEBL, p. 212 et référence). Toutefois, elle l'est lorsque le recours doit être examiné avec le pouvoir d'examen du recours en réforme (Guignard, in Procédures spéciales vaudoises, 2008, n. 4 ad art. 23 LPEBL, p. 212 et référence). En l'espèce, dès lors que la cour de céans doit examiner le recours avec un pouvoir d'examen étendu au recours en réforme, la conclusion de l'intimée tendant à ce qu'il soit constaté que les congés litigieux sont nuls est recevable en deuxième instance, ce d'autant qu'elle concerne un point sur lequel le premier juge devait statuer. On ne saurait en outre la qualifier de nouvelle, dès lors que les congés ont été contestés devant la commission de conciliation et que celle-ci a transmis la cause au premier juge afin qu'il tranche cette question.</w:t>
      </w:r>
    </w:p>
    <w:p>
      <w:r>
        <w:rPr>
          <w:b/>
        </w:rPr>
        <w:t>E. 4</w:t>
      </w:r>
    </w:p>
    <w:p>
      <w:r>
        <w:t>Les recourants font valoir que l'entier de l'arriéré de loyer réclamé dans la commination du 3 décembre 2008 n'a pas été réglé dans le délai comminatoire échéant le 10 janvier 2009 et que, dès lors, l'expulsion devait être prononcée, aucun abus de droit ne pouvant être retenu à leur charge.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(art. 257d al. 2 CO).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En l'espèce, les recourants réclamaient, dans leurs avis du 3 décembre 2008, un arriéré de 750 francs. Avec le premier juge, il y a lieu de considérer que les parties étaient convenues tacitement que les loyers litigieux étaient payables au milieu du mois en cours, de sorte que ceux du mois de décembre n'étaient pas échus à cette date. Demeuraient donc impayés à cette date - compte tenu de l'imputation du versement du mois de septembre 2008 au paiement des loyers du mois d'août et de celui du mois de novembre au paiement d'un arriéré pour le garage - le loyer du local commercial pour les mois d'octobre et novembre 2008, par 400 francs. A défaut de pièces attestant la réception des avis du 3 décembre 2008, il y a lieu d'admettre qu'ils ont été communiqués à la recourante par voie de jonction à l'échéance du délai de garde postal de sept jours (cf. Lachat, Le bail à loyer, 2 ème éd., 2008 p. 667 et références), soit le 11 décembre 2008. Le délai de trente jours arrivait donc à échéance le samedi 10 janvier 2009, et était donc reporté au lundi 12 janvier 2009 (art. 78 CO; art. 1 de la loi fédérale sur la supputation des délais comprenant un samedi du 21 juin 1963; RS 173.110.3). La recourante par voie de jonction a effectué un versement de 350 fr. le 12 décembre 2008 et un nouveau versement de 350 fr. le 12 janvier 2008, soit le jour de l'échéance du délai comminatoire. Il y a lieu de considérer que l'arriéré dû au 3 décembre 2008, par 400 francs, a été réglé en temps utile, dès lors qu'un bulletin de versement avait été annexé à la commination (ATF 124 III 145, JT 2000 I 220). Les conditions de l'art. 257d CO n'étaient donc pas réalisées et le congé donné le 22 janvier 2009 pour le local commercial est nul (ATF 124 III 201, JT 1999 I 367). Il en est de même pour le congé relatif au garage, dès lors qu'il n'existait aucun arriéré à la date de la commination.</w:t>
      </w:r>
    </w:p>
    <w:p>
      <w:r>
        <w:rPr>
          <w:b/>
        </w:rPr>
        <w:t>E. 5</w:t>
      </w:r>
    </w:p>
    <w:p>
      <w:r>
        <w:t>Au vu des considérations qui précèdent, le recours joint doit être admis en ce sens qu'il est constaté que le congé donné pour le local commercial et le garage le 22 janvier 2009 est nul.</w:t>
      </w:r>
    </w:p>
    <w:p>
      <w:r>
        <w:rPr>
          <w:b/>
        </w:rPr>
        <w:t>E. 6</w:t>
      </w:r>
    </w:p>
    <w:p>
      <w:r>
        <w:t>En conclusion, le recours doit être rejeté, le recours joint admis et l'ordonnance réformée en ce sens que le congé donné le 22 janvier 2009 à la locataire est nul. Les frais de deuxième instance des recourants sont arrêtés à 150 fr. (art. 230 du tarif du 4 décembre 1984 des frais judicaires en matière civile; RSV 270.11.5). Il n'y a pas lieu d'allouer de dépens de deuxième instance, la recourante par voie de jonction ayant agi sans l'assistance d'un avocat ou d'un agent d'affaires breveté (art. 91 et 92 CPC; Poudret/Haldy/Tappy, op. cit., n. 1 ad art. 91 CPC, p. 169; Byrde/Giroud Walther/Hack, in Procédures spéciales vaudoises, 2008, n. 5 ad art. 14 LTB, p. 149 et références). Par ces motifs, la Chambre des recours du Tribunal cantonal, statuant à huis clos, prononce : I. Le recours est rejeté et le recours joint est admis. II. L'ordonnance est confirmée et complétée en son dispositif par le chiffre I bis suivant : I bis.-       Le congé donné à D.________ le 22 janvier 2009 par A. et B.L.________ est nul. III. Les frais de deuxième instance des recourants A. et B.L.________ sont arrêtés à 150 fr. (cent cinquante francs), solidairement entre eux. IV. Il n'est pas alloué de dépens de deuxième instance. V. L'arrêt motivé est exécutoire. L e président : L e greffi er : Du 4 septembre 2009 Le dispositif de l'arrêt qui précède est communiqué par écrit aux intéressés. L e greffi er : Du L'arrêt qui précède, dont la rédaction a été approuvée à huis clos, est notifié à : ‑      M. Jacques Lauber (pour A. et B.L.________), ‑      Mme D.________. La Chambre des recours considère que la valeur litigieuse est de 18'050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