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2009 / 203 vom 2. Juni 2009</w:t>
      </w:r>
    </w:p>
    <w:p>
      <w:r>
        <w:t>VD Tribunal cantonal, 2009-06-02, FR</w:t>
      </w:r>
    </w:p>
    <w:p>
      <w:r>
        <w:rPr>
          <w:b/>
        </w:rPr>
        <w:t xml:space="preserve">Quelle: </w:t>
      </w:r>
      <w:r>
        <w:t>https://mcp.opencaselaw.ch/entscheid/vd_findinfo_HC___2009___203</w:t>
      </w:r>
    </w:p>
    <w:p>
      <w:r>
        <w:t>FR: VD_FINDINFO HC / 2009 / 203 du 2 juin 2009</w:t>
      </w:r>
    </w:p>
    <w:p>
      <w:r>
        <w:t>IT: VD_FINDINFO HC / 2009 / 203 del 2 giugno 2009</w:t>
      </w:r>
    </w:p>
    <w:p>
      <w:pPr>
        <w:pStyle w:val="Heading2"/>
      </w:pPr>
      <w:r>
        <w:t>Regeste</w:t>
      </w:r>
    </w:p>
    <w:p>
      <w:r>
        <w:t>SURSIS PARTIEL À L'EXÉCUTION DE LA PEINE, SURSIS À L'EXÉCUTION DE LA PEINE | 42 ch. 1 CP, 42 CP, 43 ch. 1 CP, 411 let. j CPP, 415 CPP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conclusion, le recours doit être rejeté en application de l'art. 431 al. 2 CPP. Le jugement est confirmé. Vu l'issue du recours, les frais de deuxième instance, y compris l'indemnité allouée à son défenseur d'office, par 774 fr. 70, TVA comprise, sont mis à la charge du recourant (art. 450 al. 1 CPP). Le remboursement à l'Etat de l'indemnité due au défenseur d'office sera exigible pour autant que la situation économique du recourant se soit améliorée (TF, arrêt du 5 décembre 2008, 6B_611/2008, ad Cass du 15 avril 2008 , c. 2.4, spéc. 2.4.3, publié aux ATF 135 I 91 ).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