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201 vom 7. August 2009</w:t>
      </w:r>
    </w:p>
    <w:p>
      <w:r>
        <w:t>VD Tribunal cantonal, 2009-08-07, FR</w:t>
      </w:r>
    </w:p>
    <w:p>
      <w:r>
        <w:rPr>
          <w:b/>
        </w:rPr>
        <w:t xml:space="preserve">Quelle: </w:t>
      </w:r>
      <w:r>
        <w:t>https://mcp.opencaselaw.ch/entscheid/vd_findinfo_HC___2009___201</w:t>
      </w:r>
    </w:p>
    <w:p>
      <w:r>
        <w:t>FR: VD_FINDINFO HC / 2009 / 201 du 7 août 2009</w:t>
      </w:r>
    </w:p>
    <w:p>
      <w:r>
        <w:t>IT: VD_FINDINFO HC / 2009 / 201 del 7 agosto 2009</w:t>
      </w:r>
    </w:p>
    <w:p>
      <w:pPr>
        <w:pStyle w:val="Heading2"/>
      </w:pPr>
      <w:r>
        <w:t>Regeste</w:t>
      </w:r>
    </w:p>
    <w:p>
      <w:r>
        <w:t>DROIT D'OBTENIR UNE DÉCISION, GARANTIE DE PROCÉDURE, JUGE DE PAIX | 325 al. 1 CPC, 489 CPC</w:t>
      </w:r>
    </w:p>
    <w:p>
      <w:pPr>
        <w:pStyle w:val="Heading2"/>
      </w:pPr>
      <w:r>
        <w:t>Erwägungen</w:t>
      </w:r>
    </w:p>
    <w:p>
      <w:r>
        <w:rPr>
          <w:b/>
        </w:rPr>
        <w:t>E. 1</w:t>
      </w:r>
    </w:p>
    <w:p>
      <w:r>
        <w:t>a) La recourante a expressément déposé un recours non contentieux, au sens des art. 489 et suivants CPC (Code de procédure civile du 14 décembre 1966; RSV 270.11). Elle fait valoir que la volonté exprimée par le premier juge dans sa lettre du 3 juin 2009 de ne pas réappointer l'audience préliminaire mais d'appointer une audience sur procédure incidente constituerait un refus de procéder sur sa requête du 18 mai 2009. b) Aux termes de l'art. 489 CPC, sauf disposition contraire de la loi, il y a recours au Tribunal cantonal contre toute décision d'une autorité judiciaire en matière non contentieuse et, en outre, contre tout refus de procéder de l'office. Un tel recours pour déni de justice est ouvert lorsque le juge a négligé ou refusé de rendre un jugement ou de prendre une décision sur une requête d'une partie, ou s'il a refusé de procéder à une opération que lui impose la loi, et seulement si la décision attaquée provoque une suspension de l'instance assimilable à un déni de justice (Poudret/Haldy/Tappy, Procédure civile vaudoise,</w:t>
      </w:r>
    </w:p>
    <w:p>
      <w:r>
        <w:rPr>
          <w:b/>
        </w:rPr>
        <w:t>E. 3</w:t>
      </w:r>
    </w:p>
    <w:p>
      <w:r>
        <w:t>En conclusion, le recours doit être écarté et la décision maintenue.</w:t>
      </w:r>
    </w:p>
    <w:p>
      <w:r>
        <w:rPr>
          <w:b/>
        </w:rPr>
        <w:t>E. 4</w:t>
      </w:r>
    </w:p>
    <w:p>
      <w:r>
        <w:t>Les frais de deuxième instance de la recourante sont arrêtés à 350 francs (art. 236 TFJC [tarif du 4 décembre 1984 des frais judiciaires en matière civile; RSV 270.11.5]). Par ces motifs, la Chambre des recours du Tribunal cantonal, statuant à huis clos, prononce : I. Le recours est écarté. II. La décision est maintenue. III. Les frais de deuxième instance de la recourante V.________ SA sont arrêtés à 350 fr. (trois cent cinquante francs). IV. L'arrêt motivé est exécutoire. L e président : L e greffi er : Du 7 août 2009 Le dispositif de l'arrêt qui précède est communiqué par écrit aux intéressés. L e greffi er : Du L'arrêt qui précède, dont la rédaction a été approuvée à huis clos, est notifié en expédition complète, par l'envoi de photocopies, à : ‑      M. Serge Maret (pour V.________ SA), ‑      K.________ SNC. La Chambre des recours considère que la valeur litigieuse est de 7'044 francs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