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196 vom 27. August 2009</w:t>
      </w:r>
    </w:p>
    <w:p>
      <w:r>
        <w:t>VD Tribunal cantonal, 2009-08-27, FR</w:t>
      </w:r>
    </w:p>
    <w:p>
      <w:r>
        <w:rPr>
          <w:b/>
        </w:rPr>
        <w:t xml:space="preserve">Quelle: </w:t>
      </w:r>
      <w:r>
        <w:t>https://mcp.opencaselaw.ch/entscheid/vd_findinfo_HC___2009___196</w:t>
      </w:r>
    </w:p>
    <w:p>
      <w:r>
        <w:t>FR: VD_FINDINFO HC / 2009 / 196 du 27 août 2009</w:t>
      </w:r>
    </w:p>
    <w:p>
      <w:r>
        <w:t>IT: VD_FINDINFO HC / 2009 / 196 del 27 agosto 2009</w:t>
      </w:r>
    </w:p>
    <w:p>
      <w:pPr>
        <w:pStyle w:val="Heading2"/>
      </w:pPr>
      <w:r>
        <w:t>Regeste</w:t>
      </w:r>
    </w:p>
    <w:p>
      <w:r>
        <w:t>EXPULSION DE LOCATAIRE, LOYER, RÉSILIATION | 257d CO, 457 al. 1 CPC, 23 LPEBL</w:t>
      </w:r>
    </w:p>
    <w:p>
      <w:pPr>
        <w:pStyle w:val="Heading2"/>
      </w:pPr>
      <w:r>
        <w:t>Erwägungen</w:t>
      </w:r>
    </w:p>
    <w:p>
      <w:r>
        <w:rPr>
          <w:b/>
        </w:rPr>
        <w:t>E. 1</w:t>
      </w:r>
    </w:p>
    <w:p>
      <w:r>
        <w:t>L'art. 23 al. 1 LPEBL ( Loi du 18 mai 1955 sur la procédure d'expulsion en matière de baux à loyer et à ferme; RSV 221.305 )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2004 III 79). En l'espèce, la recourante a contesté le congé devant la commission de conciliation. La cour de céans dispose donc d'un plein pouvoir d'examen en droit.</w:t>
      </w:r>
    </w:p>
    <w:p>
      <w:r>
        <w:rPr>
          <w:b/>
        </w:rPr>
        <w:t>E. 2</w:t>
      </w:r>
    </w:p>
    <w:p>
      <w:r>
        <w:t>D'un point de vue factuel, la cour de céans dispose d'un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1993 III 88 c. 3). Si la partie recourante entend remettre en cause l'établissement des faits, elle doit établir une appréciation arbitraire des preuves. La procédure des art. 23 ss LPEBL ne prévoit pas que l'autorité de recours puisse ordonner des mesures d'instruction complémentaires. La Chambre des recours dispose certes d'un libre pouvoir d'examen en droit, mais non en fait. En l'occurrence, c'est donc en vain que la recourante requiert des mesures d'instruction sous la forme d'audition de témoins. La recourante n'a fait valoir aucun moyen de nullité de l'art. 23 al. 1 LPEBL. Dans ces conditions, les pièces nouvelles qu'elle produit à l'appui de son recours sont irrecevables, en particulier le courrier de l'intimée du 24 septembre 2008, qui ne figure pas au dossier de première instance (art. 25 LPEBL a contrario ; Guignard, in Procédures spéciales vaudoises, Lausanne 2008, n. 1 ad art. 25 LPEBL, p. 214).</w:t>
      </w:r>
    </w:p>
    <w:p>
      <w:r>
        <w:rPr>
          <w:b/>
        </w:rPr>
        <w:t>E. 3</w:t>
      </w:r>
    </w:p>
    <w:p>
      <w:r>
        <w:t>Le bail est signé entre la commune de V.________, représentée par la municipalité, et la recourante. On comprend que la municipalité agit au nom de la commune dans la procédure et c'est donc bien la commune qui est partie.</w:t>
      </w:r>
    </w:p>
    <w:p>
      <w:r>
        <w:rPr>
          <w:b/>
        </w:rPr>
        <w:t>E. 4</w:t>
      </w:r>
    </w:p>
    <w:p>
      <w:r>
        <w:t>La recourante invoque un accord passé avec l'intimée qui résulte du courrier précité du 24 septembre 2008, par lequel elle devait s'acquitter mensuellement de 150 fr. en rattrapage de l'arriéré de loyer. Elle indique que, même si elle n'a pas signé cet accord, elle a versé les 150 fr. mensuels et par conséquent respecté l'accord. Elle en déduit que l'intimée n'était pas habilitée à lui adresser la mise en demeure du 17 février 2009. Savoir si les parties ont passé un accord et quel en est le contenu sont des questions de fait (cf. Tercier, Le droit des obligations, 3ème éd., 2004, n. 526 p. 115). En l'espèce, le premier juge n'a pas retenu l'existence d'un accord. La recourante ne démontre pas qu'il aurait à cet égard procédé à une appréciation arbitraire des preuves. Comme on l'a vu, la production du courrier du 24 septembre 2008 est irrecevable. La recourante ne saurait ainsi se prévaloir d'un accord. Au demeurant, le courrier précité détermine l'arriéré dû, fixe le montant mensuel à rembourser et mentionne que si la recourante y agrée, elle doit retourner le courrier signé pour accord. Or, elle ne l'a pas fait, de sorte que la forme écrite voulue par l'intimée n'a pas été respectée. Cela implique que les parties n'ont pas été liées (cf. art. 16 al. 1 CO). En outre, l'intimée relève que la recourante n'a de toute façon pas respecté l'échéance de janvier 2009, que ce soit pour le loyer ou l'arriéré. Les pièces au dossier n'établissent pas qu'un paiement serait alors intervenu. Ainsi, même en supposant l'existence d'un accord, la recourante ne l'aurait elle-même pas respecté et ne saurait l'opposer à l'intimée.</w:t>
      </w:r>
    </w:p>
    <w:p>
      <w:r>
        <w:rPr>
          <w:b/>
        </w:rPr>
        <w:t>E. 5</w:t>
      </w:r>
    </w:p>
    <w:p>
      <w:r>
        <w:t>a) Pour réclamer le paiement de 8'450 fr. 10 représentant le solde de loyers ouverts au 17 février 2009 (par 7'250 fr. 10) et le loyer de mars 2009 (par 1'200 fr.), l'intimée a adressé à la recourante par pli du 17 février 2009, notifié le lendemain, une mise en demeure signifiant qu'à défaut de paiement dans un délai au 23 mars 2009, le bail serait résilié. Par avis officiels sous plis recommandés du 24 mars 2009, l'intimée a signifié à la recourante que les baux étaient résiliés pour le 30 avril 2009. b)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En l'espèce, la recourante ne s'est pas acquittée de l'arriéré de loyer dans le délai comminatoire imparti, qui respectait le délai minimal de trente jours. Les conditions d'application de l'art. 257d al. 2 CO apparaissent ainsi réunies. c) La question se pose cependant de savoir si le congé ne serait pas inefficace, soit dénué d'effet juridique parce qu'il ne satisfait pas aux exigences légales ou contractuelles auxquelles est subordonné son exercice. Tel est le cas du congé qui repose sur une mise en demeure portant sur un montant disproportionné par rapport au loyer effectivement dû. En effet,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(Ch. rec., 18 janvier 2006, n° 89). Le premier juge a relevé que le montant de l'arriéré résultant des décomptes et preuves de paiement s'élevait à 6'950 francs. Le montant total de 8'450 fr. qui figure dans la mise en demeure du 17 février 2009 est donc trop élevé de 1'500 francs. Toutefois, ce montant de 8'450 fr. incluait le loyer du mois de mars 2009, par 1'200 fr., la mise en demeure distinguant clairement ce montant de l'arriéré proprement dit, par 7'250 francs. Dès lors que l'avis comminatoire fixait un délai de paiement au 23 mars 2009, le loyer de mars devenait exigible à cette échéance. On ne saurait ainsi considérer que la recourante s'est trouvée incapable de faire la part des choses entre l'arriéré de 7'250 fr. et le loyer courant de mars 2009 de 1'200 fr., la mise en demeure en faisant la distinction. Il est par ailleurs vrai que l'arriéré de 7'250 fr. est trop élevé de 300 fr. par rapport à l'arriéré de 6'950 fr. retenu par le premier juge sur la base du dossier. Cette différence de 300 fr. est trop faible pour avoir une incidence sur la validité de la mise en demeure. Il résulte de ce qui précède que la mise en demeure était suffisamment claire et ne saurait être taxée de disproportionnée au point de rendre inefficace la résiliation subséquente des baux. Dans ces conditions, le recours est infondé.</w:t>
      </w:r>
    </w:p>
    <w:p>
      <w:r>
        <w:rPr>
          <w:b/>
        </w:rPr>
        <w:t>E. 6</w:t>
      </w:r>
    </w:p>
    <w:p>
      <w:r>
        <w:t>En conclusion, le recours doit être rejeté. L'effet suspensif ayant été accordé au recours, la cause sera renvoyée au juge de paix pour qu'il fixe à nouveau le délai de libération des locaux actuellement occupés par la recourante, une fois les considérants du présent arrêt notifiés aux parties. Les frais de deuxième instance de la recourante sont arrêtés à 384 fr. (art. 232 TFJC). Obtenant gain de cause, l'intimée a droit à des dépens de deuxième instance, par 500 francs. Par ces motifs, la Chambre des recours du Tribunal cantonal, statuant à huis clos, prononce : I. Le recours est rejeté. II. L'ordonnance est confirmée. III. La cause est renvoyée au Juge de paix du district de Lavaux-Oron pour qu'il fixe à nouveau, une fois les considérants du présent arrêt envoyés pour notification aux parties, le délai de libération des locaux occupés par la locataire J.________ dans l'immeuble sis [...], [...] V.________. IV. Les frais de deuxième instance de la recourante sont arrêtés à 384 fr. (trois cent huitante-quatre francs). V. La recourante J.________ doit verser à l'intimée Commune de V.________ la somme de 500 fr. (cinq cents francs) à titre de dépens de deuxième instance. VI. L'arrêt motivé est exécutoire. L e président : L e greffi er : Du 27 août 2009 Le dispositif de l'arrêt qui précède est communiqué par écrit aux intéressés. L e greffi er : Du L'arrêt qui précède, dont la rédaction a été approuvée à huis clos, est notifié à : ‑      Me Pascal Junod, avocat (pour J.________), ‑      Me Luc Pittet, avocat (pour la Municipalité de V.________). La Chambre des recours considère que la valeur litigieuse est de 42'700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