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194 vom 8. Juli 2009</w:t>
      </w:r>
    </w:p>
    <w:p>
      <w:r>
        <w:t>VD Tribunal cantonal, 2009-07-08, FR</w:t>
      </w:r>
    </w:p>
    <w:p>
      <w:r>
        <w:rPr>
          <w:b/>
        </w:rPr>
        <w:t xml:space="preserve">Quelle: </w:t>
      </w:r>
      <w:r>
        <w:t>https://mcp.opencaselaw.ch/entscheid/vd_findinfo_HC___2009___194</w:t>
      </w:r>
    </w:p>
    <w:p>
      <w:r>
        <w:t>FR: VD_FINDINFO HC / 2009 / 194 du 8 juillet 2009</w:t>
      </w:r>
    </w:p>
    <w:p>
      <w:r>
        <w:t>IT: VD_FINDINFO HC / 2009 / 194 del 8 luglio 2009</w:t>
      </w:r>
    </w:p>
    <w:p>
      <w:pPr>
        <w:pStyle w:val="Heading2"/>
      </w:pPr>
      <w:r>
        <w:t>Regeste</w:t>
      </w:r>
    </w:p>
    <w:p>
      <w:r>
        <w:t>TÉMOIN, DROIT D'ÊTRE ENTENDU, IN DUBIO PRO REO, INTERDICTION DE L'ARBITRAIRE, LIBRE APPRÉCIATION DES PREUVES, FIXATION DE LA PEINE, AGGRAVATION DE LA PEINE, COMMERCE DE STUPÉFIANTS, DISPOSITIONS PÉNALES DE LA LSTUP | 47 CP, 411 let. g CPP, 411 let. i CPP, 19 ch. 2 let. a LStup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l'espèce, il convient d'examiner en premier lieu les moyens de nullité, ceux-ci pouvant faire apparaître des doutes sur l'existence des faits admis et importants pour le jugement de la cause (art. 411 let. i CPP).</w:t>
      </w:r>
    </w:p>
    <w:p>
      <w:r>
        <w:rPr>
          <w:b/>
        </w:rPr>
        <w:t>E. 2</w:t>
      </w:r>
    </w:p>
    <w:p>
      <w:r>
        <w:t>a) Le recourant soulève tout d'abord la violation d'une règle essentielle de procédure au sens de l'art. 411 let. g CPP. Il soutient que son droit d'être entendu a été violé, dans la mesure où le témoignage de H.________ n'aurait pas été repris dans le jugement, alors même qu'il aurait instauré un doute important sur les quantités de drogue en cause. b) La procédure pénale vaudoise est régie par le principe de l'oralité des débats, de sorte que les déclarations qui y sont émises ne sont pas verbalisées, sauf indice de faux témoignage (art. 351 al. 2 CPP). Ce qui a été dit aux débats ne laisse donc pas d'autres traces que celles qui pourraient figurer dans le jugement (Bersier, op. cit., n. 22). Le droit d'être entendu confère toutefois celui d'obtenir que les déclarations des témoins ou parties qui peuvent influer sur la solution du litige soient consignées au procès-verbal, tout au moins dans leur teneur essentielle. Ainsi, les parties peuvent exiger du juge de première instance la verbalisation des déclarations importantes des autres parties. En cas de désaccord avec le juge sur la nécessité de la verbalisation, elles doivent, si elles entendent ensuite recourir contre le jugement, agir par le biais d'une requête incidente immédiate (Bovay, Dupuis, Moreillon et Piguet, op. cit., n. 10.4 et 11.5 ad art. 411 CPP et les réf. cit.; JT 2000 III 11, consid. 2b; ATF 126 I 15). Le Tribunal fédéral considère que, tel qu'interprété par la Cour de cassation, le droit vaudois de procédure pénale n'est pas contraire aux exigences minimales du droit d'être entendu découlant de la Constitution, dès lors qu'il ménage à la partie qui le souhaite le droit de requérir la transcription d'un témoignage important et lui permet de recourir contre un éventuel refus subséquent du juge. Le Tribunal fédéral estime notamment qu'il est conforme à sa jurisprudence, en principe, d'exiger du prévenu ou de son avocat, selon les règles de la bonne foi, qu'il fasse valoir ses moyens de défense en temps utile et dans les formes prescrites, sans attendre une éventuelle issue défavorable du litige (ATF 126 I 15, précité, JT 2000 III 11; TF du 25 février 2000, ad Cass., 24 juin 1999, n° 324). c) En l'espèce, le recourant ne soutient pas qu'il aurait requis la verbalisation du témoignage de H.________ ni que celle-ci lui aurait été refusée. Or, s'il entendait se prévaloir de ce témoignage, Q.________ aurait dû en demander la consignation écrite. Ce n'est que dans cette mesure que la Cour de cassation, dans les limites très étroites de son pouvoir d'examen, aurait pu relever une éventuelle appréciation arbitraire des faits par les premiers juges. Mal fondé, le moyen doit être rejeté.</w:t>
      </w:r>
    </w:p>
    <w:p>
      <w:r>
        <w:rPr>
          <w:b/>
        </w:rPr>
        <w:t>E. 3</w:t>
      </w:r>
    </w:p>
    <w:p>
      <w:r>
        <w:t>a) Le recourant fait ensuite valoir l'art. 411 let. i CPP. Il prétend qu'il existe un doute quant à la quantité de drogue achetée par B.________, en raison notamment du fait que celui-ci est revenu, aux débats, sur les déclarations qu'il avait faites à la police en cours d'enquête. Q.________ prétend également que la version retenue par les premiers juges, à savoir celle qui résulte des premières auditions de B.________, viole le principe in dubio pro reo. b) Le moyen tiré de l'article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Le recours en nullité ne doit pas permettre au recourant de discuter à nouveau librement les faits devant l'autorité de recours, à laquelle il appartiendrait de choisir la version la plus vraisemblable (JT 1991 III 45). Dans le cadre de ce moyen de nullité, la cour de céans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(Bersier, op. cit., spéc. p. 83; Besse-Matile et Abravanel, op. cit., p. 104 et les réf. cit.). Pour être taxée d'arbitraire, la violation incriminée doit être manifeste et reconnue d'emblée. Ainsi, l'arbitraire n'existe pas du simple fait qu'une autre solution eût été possible ou serait apparue plus justifiée; il faut que les contestations incriminées reposent sur des considérations manifestement insoutenables et que la décision apparaisse arbitraire dans son résultat (ATF 101 Ia 298; TF du 17 octobre 1994, 6P.94/1994, consid. 2a ad Cass., 30 mai 1994, n° 141). Le principe in dubio pro reo ne figure expressis verbis dans aucune disposition de notre ordre juridique (Corboz, In dubio pro reo, RJB 1993, pp. 403 ss, spéc. p. 404), mais découle de la présomption d'innocence (Corboz, op. cit., p. 405), garantie par l'art. 6 par. 2 CEDH et figurant également expressément à l'art. 32 al. 1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consid. 2a, ad Cass., 27 octobre 1999, n° 447; ATF 120 Ia 31, consid.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consid. 2a; ATF 124 IV 86, consid. 2a, JT 1999 IV 136; SJ 1994, p. 541, spéc. p. 545, consid. 2c). Dans cette mesure, le principe in dubio pro reo se confond avec l'interdiction générale de l'arbitraire, prohibant une appréciation reposant sur des preuves inadéquates ou sans pertinence ( Bovay, Dupuis, Moreillon, Piguet, op. cit., n. 11.4 ad art. 411 CPP; Besse-Matile et Abravanel, op. cit., p. 102). Il est donc examiné sous l'angle de l'art. 411 let. i CPP (JT 2003 III 70, consid.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RJB 1993, pp. 1 ss, spéc. p. 21, n. 5). c) Le tribunal a exposé de manière détaillée les raisons pour lesquelles il n'a pas tenu compte du revirement de B.________. Premièrement, les déclarations que celui-ci avait faites à l'enquête étaient claires et précises. Deuxièmement, c'est la police qui estimé les quantités de cocaïne achetée, en collaboration avec l'intéressé. Troisièmement, aucun élément ne permet de penser qu'il aurait exagéré ses mises en cause pour être libéré plus rapidement. Quatrièmement, le tribunal a tenu pour notoire le fait que les consommateurs de stupéfiants ont tendance à minimiser leurs achats lorsqu'ils sont confrontés à leur vendeur. Enfin, B.________ étant en exécution de peine dans le même établissement que le recourant, on ne saurait exclure qu'il craigne des représailles de sa part. Les premiers juges ont donc fondé leur conviction sur un faisceau d'indices. Leur appréciation n'est pas arbitraire, même si une autre solution eût été possible. Les arguments que le recourant avance sont appellatoires. Il tente simplement de faire valoir sa propre version des faits, mais ne montre pas en quoi la solution retenue par le tribunal serait entachée d'arbitraire.</w:t>
      </w:r>
    </w:p>
    <w:p>
      <w:r>
        <w:rPr>
          <w:b/>
        </w:rPr>
        <w:t>E. 4</w:t>
      </w:r>
    </w:p>
    <w:p>
      <w:r>
        <w:t>a) En réforme, le recourant conteste la peine qui lui a été infligée, peine qu'il considère arbitraire. b) 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qu'elle rectifie d'office (art. 447 al. 2 CPP).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(ATF 122 IV 299, consid. 2c, p. 301;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(TF 6B_297/2008 du 19 juin 2008, consid. 5.1.2).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ATF 118 IV 342, consid. 2d, p. 349; TF 6S.21/2002 du 17 avril 2002, consid. 2c). Enfin,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et Piguet, Procédure pénale vaudoise, Code annoté, 3 e éd., Bâle 2008 , n. 1.4 ad art. 415 CPP; ATF 127 IV 101, consid. 2c; ATF 122 IV 156, consid. 3b; ATF 116 IV 288, consid. 2b). c) En l'espèce, le recourant a été condamné pour recel, infraction grave à la loi sur les stupéfiants et infraction grave à la LSEE. Il réalise la circonstance aggravante du concours. L'infraction grave à la LStup est passible d'une peine privative de liberté allant de 12 mois à 20 ans (art. 19 ch. 1 LStup et art. 40 CP). Les premiers juges ont considéré que la culpabilité du recourant était très lourde. A charge, ils ont retenu la durée de l'activité délictueuse et l'ampleur du trafic. Non toxicomane, le recourant a agi par pur appât du gain, alors qu'il jouissait d'une formation supérieure. A décharge, les premiers juges ont retenu l'absence d'antécédents et les quelques regrets exprimés. Tous ces éléments sont pertinents. Même si la quantité de drogue n'est pas le seul élément à prendre en considération, la quantité totale vendue dans le cas d'espèce, soit 325 grammes de cocaïne pure, est très largement supérieure à la limite du cas grave. Contrairement à ce que soutient Q.________, le tribunal, après avoir évoqué l'ampleur du trafic, n'a pas retenu une seconde fois la même circonstance aggravante lorsqu'il a précisé que le trafic avait porté sur plus d'un kilo de cocaïne, que le recourant avait agit en toute occasion et à l'égard d'un nombre indéterminé de consommateurs. Le tribunal a en effet simplement étayé son appréciation selon laquelle le trafic était d'une certaine ampleur, en raison, précisément, de l'importante quantité vendue et de la large clientèle concernée. De même, il n'a pas été tenu compte deux fois de la même circonstance aggravante lorsque, après avoir qualifié l'infraction de grave, le tribunal a constaté que Q.________ avait agi par pur appât du gain alors qu'il n'était pas lui-même consommateur. En effet, le cas grave au sens de la loi fédérale sur les stupéfiants tient ici à la "quantité de stupéfiants qui peut mettre en danger la santé de nombreuses personnes" (art. 19 ch. 2 let. a LStup) et non au trafic réalisé par métier (let. c); tenir compte, au stade de la fixation de la peine, du mobile consistant en l'espèce uniquement en l'appât du gain est ainsi dénué d'arbitraire. Bien plus, au vu de la large fourchette de 12 mois à 20 ans de peine privative de liberté dont peut être punie l'infraction en cause, il est nécessaire que soient pris en compte tous ces éléments qui sont autant de facteurs permettant d'évaluer la culpabilité de l'auteur au sens de l'art. 47 CP. Les juges n'ont donc pas abusé de leur large pouvoir d'appréciation et la peine qu'ils ont prononcée n'est en rien arbitrairement sévère.</w:t>
      </w:r>
    </w:p>
    <w:p>
      <w:r>
        <w:rPr>
          <w:b/>
        </w:rPr>
        <w:t>E. 5</w:t>
      </w:r>
    </w:p>
    <w:p>
      <w:r>
        <w:t>Au vu de ce qui précède, le recours doit être rejeté le jugement attaqué confirmé. Compte tenu de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