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189 vom 22. Juli 2009</w:t>
      </w:r>
    </w:p>
    <w:p>
      <w:r>
        <w:t>VD Tribunal cantonal, 2009-07-22, FR</w:t>
      </w:r>
    </w:p>
    <w:p>
      <w:r>
        <w:rPr>
          <w:b/>
        </w:rPr>
        <w:t xml:space="preserve">Quelle: </w:t>
      </w:r>
      <w:r>
        <w:t>https://mcp.opencaselaw.ch/entscheid/vd_findinfo_HC___2009___189</w:t>
      </w:r>
    </w:p>
    <w:p>
      <w:r>
        <w:t>FR: VD_FINDINFO HC / 2009 / 189 du 22 juillet 2009</w:t>
      </w:r>
    </w:p>
    <w:p>
      <w:r>
        <w:t>IT: VD_FINDINFO HC / 2009 / 189 del 22 luglio 2009</w:t>
      </w:r>
    </w:p>
    <w:p>
      <w:pPr>
        <w:pStyle w:val="Heading2"/>
      </w:pPr>
      <w:r>
        <w:t>Regeste</w:t>
      </w:r>
    </w:p>
    <w:p>
      <w:r>
        <w:t>LOYER ABUSIF, LOYER INITIAL, LOYER USUEL | 269 CO, 269a let. a CO, 451 ch. 2 CPC, 452 al. 1 CPC, 452 al. 2 CPC, 13 LTB</w:t>
      </w:r>
    </w:p>
    <w:p>
      <w:pPr>
        <w:pStyle w:val="Heading2"/>
      </w:pPr>
      <w:r>
        <w:t>Erwägungen</w:t>
      </w:r>
    </w:p>
    <w:p>
      <w:r>
        <w:rPr>
          <w:b/>
        </w:rPr>
        <w:t>E. 1</w:t>
      </w:r>
    </w:p>
    <w:p>
      <w:r>
        <w:t>L'art. 451 ch. 2 CPC (Code de procédure civile du 14 décembre 1966, RSV 270.11), applicable par renvoi de l'art. 13 LTB (loi du 13 décembre 1981 sur le Tribunal des baux, RSV 173.655), ouvre la voie du recours en réforme contre les jugements principaux rendus par le Tribunal des baux. Interjeté en temps utile, le recours, qui tend exclusivement à la réforme, est recevable.</w:t>
      </w:r>
    </w:p>
    <w:p>
      <w:r>
        <w:rPr>
          <w:b/>
        </w:rPr>
        <w:t>E. 2</w:t>
      </w:r>
    </w:p>
    <w:p>
      <w:r>
        <w:t>a) En l'espèce, les conclusions du recours ne sont ni nouvelles ni plus amples que celles prises en première instance (cf. jgt, pp. 3 et 4). Elles sont recevables ( art. 452 al. 1 CPC [applicable par renvoi de l'art. 13 LTB]) . b) Lorsqu'elle est saisie d'un recours en réforme contre un jugement principal rendu par le Tribunal des baux, la Chambre des recours revoit librement la cause en fait et en droit (art. 452 al. 2 CPC, applicable par renvoi de l'art. 13 LTB). Les parties ne peuvent cependant pas articuler de faits nouveaux, sous réserve de ceux qui résultent du dossier et qui auraient dû être retenus ou de ceux pouvant résulter d'une instruction complémentaire selon l'article 456a CPC (art. 452 al. 1ter CPC). Le Tribunal cantonal revoit ainsi la cause en fait et en droit sur la base du dossier, sans réadministration des preuves déjà administrées en première instance. Il développe par conséquent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preuves administrées ; il permet à la cour de céans de statuer en réforme, sans devoir procéder à une instruction complémentaire.</w:t>
      </w:r>
    </w:p>
    <w:p>
      <w:r>
        <w:rPr>
          <w:b/>
        </w:rPr>
        <w:t>E. 3</w:t>
      </w:r>
    </w:p>
    <w:p>
      <w:r>
        <w:t>En pages 2 à 8 de son recours, Z.________ fait valoir des "moyens de fait, en particulier des éléments relatifs au critère du rendement de l'immeuble, qui ont été portés à la connaissance des premiers juges et dont ceux-ci ont estimé, par des motifs complets et convaincants que la cour de céans fait siens en application de l'art. 471 al. 3 CPC, qu'ils étaient sans pertinence pour le sort de la cause. En effet, comme les premiers juges l'ont retenu, le recourant était lié par le critère des loyers usuels qu'il avait mentionné dans la formule de "notification de loyer lors de la conclusion d'un nouveau bail" qu'il avait adressée à l'intimée ; en outre, celle-ci n'a pas demandé que le loyer soit de préférence contrôlé sous l'angle de l'art. 269 CO (rendement de l'immeuble), ainsi qu'elle en avait la faculté (TF 4C.236/2004 du 12 novembre 2004 c. 3.2 ; ATF 124 III 310 c. 2b) ; les premiers juges ne pouvaient donc, dans ces conditions, examiner le loyer litigieux que selon le critère des loyers usuels du quartier (cf. jgt, p. 6, dernier alinéa, et p. 7 ; Fetter, La contestation du loyer initial, Berne 2005, pp. 217-218, n° 473 et p. 90, n° 193). A cet égard, la lettre dont le recourant se prévaut, qu'il a adressée au premier juge le 13 août 2008 et dans laquelle il demande notamment que le loyer soit examiné sous l'angle du rendement net de l'immeuble, n'est pas propre à modifier cette conclusion. De même, son affirmation, selon laquelle l'intimée aurait elle-même demandé, tout au moins implicitement, par la conclusion I de sa requête du 28 mars 2008, que le loyer soit examiné sous l'angle du critère du rendement de l'art. 269 CO, est inexacte. En effet, on ne saurait déduire de la conclusion I, dont le libellé est : "Le loyer initial est abusif", que l'intimée aurait voulu, même implicitement, que le contrôle du loyer s'effectue sous l'angle de l'art. 269 CO.</w:t>
      </w:r>
    </w:p>
    <w:p>
      <w:r>
        <w:rPr>
          <w:b/>
        </w:rPr>
        <w:t>E. 4</w:t>
      </w:r>
    </w:p>
    <w:p>
      <w:r>
        <w:t>Il s'ensuit que l e recours doit être rejeté en application de l'art. 465 al. 1 CPC et que le jugement doit être confirmé. Les frais de deuxième instance du recourant sont arrêtés à 543 francs. Par ces motifs, la Chambre des recours du Tribunal cantonal, statuant à huis clos, en application de l'art. 465 al. 1 CPC, prononce : I. Le recours est rejeté. II. Le jugement est confirmé. III. Les frais de deuxième instance du recourant Z.________ sont arrêtés à 543 fr. (cinq cent quarante trois francs). IV.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 Jean-Marc Schlaeppi, agent d'affaires breveté (pour Z.________), ‑      Mme B.________.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