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184 vom 20. Juli 2009</w:t>
      </w:r>
    </w:p>
    <w:p>
      <w:r>
        <w:t>VD Tribunal cantonal, 2009-07-20, FR</w:t>
      </w:r>
    </w:p>
    <w:p>
      <w:r>
        <w:rPr>
          <w:b/>
        </w:rPr>
        <w:t xml:space="preserve">Quelle: </w:t>
      </w:r>
      <w:r>
        <w:t>https://mcp.opencaselaw.ch/entscheid/vd_findinfo_HC___2009___184</w:t>
      </w:r>
    </w:p>
    <w:p>
      <w:r>
        <w:t>FR: VD_FINDINFO HC / 2009 / 184 du 20 juillet 2009</w:t>
      </w:r>
    </w:p>
    <w:p>
      <w:r>
        <w:t>IT: VD_FINDINFO HC / 2009 / 184 del 20 luglio 2009</w:t>
      </w:r>
    </w:p>
    <w:p>
      <w:pPr>
        <w:pStyle w:val="Heading2"/>
      </w:pPr>
      <w:r>
        <w:t>Regeste</w:t>
      </w:r>
    </w:p>
    <w:p>
      <w:r>
        <w:t>MODÉRATION | 7 al. 2 LPAg, 9 al. 3 LPAg</w:t>
      </w:r>
    </w:p>
    <w:p>
      <w:pPr>
        <w:pStyle w:val="Heading2"/>
      </w:pPr>
      <w:r>
        <w:t>Erwägungen</w:t>
      </w:r>
    </w:p>
    <w:p>
      <w:r>
        <w:rPr>
          <w:b/>
        </w:rPr>
        <w:t>E. 1</w:t>
      </w:r>
    </w:p>
    <w:p>
      <w:r>
        <w:t>Aux termes de l'art. 9 al. 3 LPAg [loi du 20 mai 1957 sur la profession d'agent d'affaires breveté, RSV 179.11], la décision de modération peut faire l'objet d'un recours à la Cour de modération, dans un délai de dix jours dès sa communication. La Chambre des recours est compétente pour statuer sur un tel recours (art. 20 al. 1 in fine ROTC [règlement organique du Tribunal cantonal; RSV 173.31.1] selon modification du 10 mars 2009 entrée en vigueur le 1 er avril 2009). Déposé en temps utile, le recours est recevable.</w:t>
      </w:r>
    </w:p>
    <w:p>
      <w:r>
        <w:rPr>
          <w:b/>
        </w:rPr>
        <w:t>E. 2</w:t>
      </w:r>
    </w:p>
    <w:p>
      <w:r>
        <w:t>En matière de modération de notes d'honoraires d'avocat, la LJPA [loi sur la juridiction et la procédure administrative du 18 décembre 1989] était applicable par le renvoi de l'art. 51 LPAv [loi du 24 septembre 2002 sur la profession d'avocat; RSV 177.11] et accordait au juge modérateur un libre pouvoir d'appréciation en fait et en droit (JT 2003 III 67, c. 1d). Depuis l'entrée en vigueur le 1 er janvier 2009 de la loi sur la procédure administrative (LPA-VD; RSV 173.36) abrogeant la LJPA (art. 118) - l'art. 51 LPAv étant adapté en conséquence -, le recours administratif (art. 73 et 92 ss LPA-VD) permet d'invoquer la violation du droit, y compris l'excès ou l'abus du pouvoir d'appréciation, ainsi que la constatation inexacte ou incomplète des faits pertinents (art. 98 LPA-VD). Aucune disposition de la LPAg (cf. art. 9) ne précise le pouvoir d'examen de la Chambre des recours. Dans un arrêt du 26 mai 2008, la cour de céans a décidé d'appliquer la LJPA aux modérations de notes d'honoraires d'agents d'affaires brevetés et a ainsi admis disposer d'un libre pouvoir d'appréciation en fait et en droit (Ch. rec., no 96/II). Le même souci d'uniformisation conduit désormais à renvoyer aux règles de la LPA-VD en ce qui concerne le pouvoir d'examen de la cour de céans.</w:t>
      </w:r>
    </w:p>
    <w:p>
      <w:r>
        <w:rPr>
          <w:b/>
        </w:rPr>
        <w:t>E. 3</w:t>
      </w:r>
    </w:p>
    <w:p>
      <w:r>
        <w:t>La procédure étant peu formaliste en matière de modération d'honoraires, le recours est recevable si l'on peut en déduire, même implicitement, qu'il tend à la réduction des honoraires et des débours réclamés (Ch. rec., 26 mai 2008 no 96/II précité avec références). Le recourant Q.________ reproche au premier juge de n'avoir pas pris en compte l'entier de ses opérations et débours tels qu'ils résultent de sa liste d'opérations détaillée. La recourante C.________ Sàrl entend pour sa part limiter bien davantage les opérations donnant matière à rémunération.</w:t>
      </w:r>
    </w:p>
    <w:p>
      <w:r>
        <w:rPr>
          <w:b/>
        </w:rPr>
        <w:t>E. 4</w:t>
      </w:r>
    </w:p>
    <w:p>
      <w:r>
        <w:t>Selon l'art. 7 al. 2 LPAg, les honoraires de l'agent d'affaires breveté sont fixés par analogie avec le tarif en tenant compte de l'usage, de l'importance et de la difficulté de l'affaire et du résultat obtenu. La jurisprudence applique les critères définis en matière d'honoraires d'avocats, et prend également en considération la situation financière du client, l'importance du capital litigieux, le coût de la vie, les frais généraux de l'agent d'affaires et l'expérience de celui-ci (C. mod., 30 janvier 2003 no 5; C. mod., 24 novembre 2000 précité). En règle générale, les honoraires s'évaluent de façon globale, mais le juge modérateur est libre de recourir à la modération détaillée, d'office ou sur réquisition, s'il l'estime opportun vu les circonstances de l'espèce (Jomini, op. cit.,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 mod., 24 novembre 2000, précité; JT 1990 III 66; Jomini, op. cit., n. 6, p. 4 et les références citées). Il peut toutefois éliminer les opérations inutiles faites par l'agent d'affaires, par exemple lorsqu'il enfle à tort le travail effectivement nécessaire (Jomini, Les honoraires et débours de l'avocat vaudois et leur modération, in JT 1982 III  6 n. 11). En l'espèce, le 8 janvier 2008, Q.________ a adressé à C.________ Sàrl un décompte intermédiaire d'honoraires et débours faisant état de 3700 fr. d'honoraires pour environ 65 opérations effectuées depuis l'ouverture du dossier et d'un solde en faveur du mandataire de 3'063 fr. 45, TVA et débours par 241 fr. 40 compris, après encaissement de divers montants et paiement de divers frais. La lettre d'envoi expose que la mise sur pied de la convention entre parties a nécessité de très nombreuses opérations. A la requête de C.________ Sàrl, une liste détaillée d'opérations et de débours a été établie et transmise. Par télécopie du 18 janvier 2008, la recourante a signifié la résiliation du mandat confié à son mandataire. Il en résulte, d'une part en amont, que  les opérations postérieures à la résiliation du mandat n'ont pas à être prises en considération et, d'autre part en aval, que les opérations pertinentes ne sauraient être limitées à la requête de mesures provisoire. L'objet de la modération est donc circonscrit dans le temps par la note d'honoraires intermédiaire du 8 janvier 2008 et non par celle du 6 février 2008. Pour l'essentiel ces opérations comprennent : l'élaboration et la rédaction d'une requête d'inscription provisoire d'hypothèque légale de quatre pages et d'un bordereau, ainsi que l'élaboration d'une convention de quatre pages prévoyant la consignation à titre de garantie d'un montant de 8'536 fr. 45 en mains de l'agent d'affaires en lieu et place de l'hypothèque légale inscrite à titre préprovisoire. Les autres opérations comportent : une conférence, des conférences par téléphone et appels téléphoniques donnés ou reçus (une vingtaine), des lettres (une vingtaine également), messages (deux) et télécopies, des prises de connaissance de correspondances et d'écrits divers (environ 20 de durée variable selon les temps de lecture), l'envoi de diverses annexes. L'exécution de ces opérations correspond à l'accomplissement d'une dizaine d'heures de travail, soit au tarif horaire de 225 fr., indiqué par C.________ Sàrl comme étant celui lui ayant été indiqué en début de mandat, sans être contredit sur ce point par la recourante, des honoraires pour un montant de 2'250 fr., auxquels il convient d'ajouter la TVA, soit 171 francs. Le recours de Q.________ doit être admis dans cette mesure. Q.________ a facturé un montant de 241 fr. 40 à titre de débours en intégrant des frais de communication téléphonique, d'enregistrement de dossier par 50 fr., des frais de port, soit 1 fr. par lettre, des frais de papier, soit 1 fr. par feuille qu'il s'agisse de photocopie, d'impression de fax ou de mail. S'agissant de débours ordinaires tels que ouverture de dossier, frais postaux et photocopies, il n'y pas lieu de les ajouter aux honoraires dès lors qu'ils sont déjà compris comme frais généraux de l'agent d'affaires dans le tarif horaire mentionné ci-dessus. Le recours de C.________ Sàrl doit être admis à cet égard. En revanche, l'avance d'émolument judiciaire effectuée pour le compte de C.________ Sàrl relève des débours extraordinaires devant être remboursés au conseil.</w:t>
      </w:r>
    </w:p>
    <w:p>
      <w:r>
        <w:rPr>
          <w:b/>
        </w:rPr>
        <w:t>E. 5</w:t>
      </w:r>
    </w:p>
    <w:p>
      <w:r>
        <w:t>En définitive les deux recours doivent être partiellement admis et la note d'honoraires doit être modérée à un montant de 2'851 fr. 40, débours par 400 francs et TVA par 201 fr. 40 compris, sous déduction de la provision de 1'076 fr. et de l'avance de frais par 500 fr. déjà versées (soit 1'576 francs). Le prononcé est confirmé pour le surplus. Les frais de deuxième instance sont arrêtés à 150 francs (art. 249 TFJC [tarif des frais judiciaires en matière civile; RSV 270.11.5]) pour chaque partie. Il y a lieu de compenser les dépens. Par ces motifs, la Chambre des recours du Tribunal cantonal, statuant à huis clos, prononce : I. Le recours de Q.________ est partiellement admis. II. Le recours de C.________ Sàrl est partiellement admis. III. Le prononcé est réformé comme suit au chiffre I de son dispositif : I.          modère à 2'851 fr. 40 (deux mille huit cent cinquante et un francs et quarante centimes) la note d'honoraires adressée le 6 février 2008 par l'agent d'affaires Q.________ à C.________ Sàrl, soit 2'250 francs  (deux mille deux cent cinquante francs) d'honoraires et 400 francs (quatre cents francs) de débours et 201 fr.  40 (deux cent et un francs et quarante centimes) de TVA sur honoraires et débours, dont à déduire 1'576 francs (mille cinq cent septante-six francs) de provision et avance. Le prononcé est confirmé pour le surplus. IV. Les frais de deuxième instance du recourant Q.________ sont arrêtés à 150 fr. (cent cinquante francs) et les frais de deuxième instance de la recourante C.________ Sàrl sont arrêtés à 150 fr. (cent cinquante francs). V. Les dépens de deuxième instance sont compensés. VI.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 Christophe Savoy, aab (pour Q.________), ‑      C.________ Sàrl. La Chambre des recours considère que la valeur litigieuse est de l'ordre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