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180 vom 22. Juli 2009</w:t>
      </w:r>
    </w:p>
    <w:p>
      <w:r>
        <w:t>VD Tribunal cantonal, 2009-07-22, FR</w:t>
      </w:r>
    </w:p>
    <w:p>
      <w:r>
        <w:rPr>
          <w:b/>
        </w:rPr>
        <w:t xml:space="preserve">Quelle: </w:t>
      </w:r>
      <w:r>
        <w:t>https://mcp.opencaselaw.ch/entscheid/vd_findinfo_HC___2009___180</w:t>
      </w:r>
    </w:p>
    <w:p>
      <w:r>
        <w:t>FR: VD_FINDINFO HC / 2009 / 180 du 22 juillet 2009</w:t>
      </w:r>
    </w:p>
    <w:p>
      <w:r>
        <w:t>IT: VD_FINDINFO HC / 2009 / 180 del 22 luglio 2009</w:t>
      </w:r>
    </w:p>
    <w:p>
      <w:pPr>
        <w:pStyle w:val="Heading2"/>
      </w:pPr>
      <w:r>
        <w:t>Regeste</w:t>
      </w:r>
    </w:p>
    <w:p>
      <w:r>
        <w:t>CONTRAT DE TRAVAIL, SALAIRE | 451 ch. 2 CPC, 452 al. 2 CPC, 471 al. 3 CPC, 46 LJT</w:t>
      </w:r>
    </w:p>
    <w:p>
      <w:pPr>
        <w:pStyle w:val="Heading2"/>
      </w:pPr>
      <w:r>
        <w:t>Erwägungen</w:t>
      </w:r>
    </w:p>
    <w:p>
      <w:r>
        <w:rPr>
          <w:b/>
        </w:rPr>
        <w:t>E. 1</w:t>
      </w:r>
    </w:p>
    <w:p>
      <w:r>
        <w:t>Les parties peuvent recourir au Tribunal cantonal contre les jugements d'un tribunal de prud'hommes ou de son président (art. 46 al. 1 er LJT [Loi du 17 mai 1999 sur la juridiction du travail, RSV 173.61), notamment en réforme (art. 48 let. b LJT). Les règles ordinaires de la procédure civile contentieuse relatives aux recours contre les jugements des tribunaux d'arrondissement et des présidents en procédure accélérée et sommaire sont applicables, sous réserve des règles spéciales posées par la LJT (art. 46 al. 2 LJT). Par renvoi des dispositions susmentionnées (art. 46 al. 2 LJT), le recours en réforme (art. 451 ch. 2 CPC [Code de procédure civile du 14 décembre 1966, RSV 270.11]) est ainsi ouvert. Interjeté en temps utile, par une partie qui y a intérêt, le recours est recevable (art. 458 et 461 CPC). La recourante conclut principalement à la réforme du jugement.</w:t>
      </w:r>
    </w:p>
    <w:p>
      <w:r>
        <w:rPr>
          <w:b/>
        </w:rPr>
        <w:t>E. 2</w:t>
      </w:r>
    </w:p>
    <w:p>
      <w:r>
        <w:t>Lorsqu'elle est s aisie d'un recours en réforme interjeté contre un jugement principal rendu par un tribunal de prud'hommes,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l'article 456a CPC (art. 452 al. 1ter CPC). Le Tribunal cantonal revoit ainsi la cause en fait et en droit sur la base du dossier, sans réadministration des preuves déjà administrées en première instance (JT 2003 III 3). En l'espèce, l'état de fait du jugement est complet et conforme aux pièces du dossier. Il permet à la cour de céans de statuer en réforme, sans devoir procéder à une instruction complémentaire.</w:t>
      </w:r>
    </w:p>
    <w:p>
      <w:r>
        <w:rPr>
          <w:b/>
        </w:rPr>
        <w:t>E. 3</w:t>
      </w:r>
    </w:p>
    <w:p>
      <w:r>
        <w:t>La recourante nie devoir payer à l'intimée l'indemnité mensuelle brute de 500 fr. pour les mois de novembre 2005 au mois de février 2006, soutenant qu'à cette époque, l'intéressée n'assumait pas encore les responsabilités de directrice des deux cabarets. Tout d'abord, il convient de relever que la recourante admet à juste titre la qualification d'élément faisant "partie intégrante du salaire" que les premiers juges ont donnée à l'indemnité litigieuse. Il n'y a pas lieu de revenir sur ce point. Ensuite, il convient de relever que la rémunération litigieuse est bien due à partir du mois de novembre 2005. En effet, la recourante a reconnu qu'une rémunération était "prévue en compensation de la responsabilité que [l'intimée avait endossée], étant tenancière de patente" (cf. recours, p. 2) ; elle a ainsi admis avoir passé, à ce sujet, une convention avec l'intimée. Outre ce point, l'autorisation de droit public d'exercer en tant que "tenancière" qui a été délivrée à l'intimée, autorisation faisant foi, a pris effet à partir du 1 er novembre 2005. C'est donc bien à partir de cette date que l'indemnité doit être versée.</w:t>
      </w:r>
    </w:p>
    <w:p>
      <w:r>
        <w:rPr>
          <w:b/>
        </w:rPr>
        <w:t>E. 4</w:t>
      </w:r>
    </w:p>
    <w:p>
      <w:r>
        <w:t>Il s'ensuit que le recours doit être rejeté et le jugement confirmé. Sucombant, la recourante doit verser à l'intimée la somme de 200 fr. à titre de dépens de deuxième instance. Par ces motifs, la Chambre des recours du Tribunal cantonal, statuant à huis clos, prononce : I. Le recours est rejeté. II. Le jugement est confirmé. III. L'arrêt est rendu sans frais. IV. La recourante W.________ SA doit verser à l'intimée B.________ la somme de 200 fr. (deux cents francs) à titre de dépens de deuxième instance.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W.________ SA, ‑      Me Laurent Damond (pour B.________).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