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166 vom 30. April 2009</w:t>
      </w:r>
    </w:p>
    <w:p>
      <w:r>
        <w:t>VD Tribunal cantonal, 2009-04-30, FR</w:t>
      </w:r>
    </w:p>
    <w:p>
      <w:r>
        <w:rPr>
          <w:b/>
        </w:rPr>
        <w:t xml:space="preserve">Quelle: </w:t>
      </w:r>
      <w:r>
        <w:t>https://mcp.opencaselaw.ch/entscheid/vd_findinfo_HC___2009___166</w:t>
      </w:r>
    </w:p>
    <w:p>
      <w:r>
        <w:t>FR: VD_FINDINFO HC / 2009 / 166 du 30 avril 2009</w:t>
      </w:r>
    </w:p>
    <w:p>
      <w:r>
        <w:t>IT: VD_FINDINFO HC / 2009 / 166 del 30 aprile 2009</w:t>
      </w:r>
    </w:p>
    <w:p>
      <w:pPr>
        <w:pStyle w:val="Heading2"/>
      </w:pPr>
      <w:r>
        <w:t>Regeste</w:t>
      </w:r>
    </w:p>
    <w:p>
      <w:r>
        <w:t>APPRÉCIATION DES PREUVES, CONDITION DE RECEVABILITÉ, PLAIGNANT | 411 let. h CPP, 411 let. i CPP, 413 al. 2 CPP</w:t>
      </w:r>
    </w:p>
    <w:p>
      <w:pPr>
        <w:pStyle w:val="Heading2"/>
      </w:pPr>
      <w:r>
        <w:t>Erwägungen</w:t>
      </w:r>
    </w:p>
    <w:p>
      <w:r>
        <w:rPr>
          <w:b/>
        </w:rPr>
        <w:t>E. 4</w:t>
      </w:r>
    </w:p>
    <w:p>
      <w:r>
        <w:t>a) La recourante critique l'appréciation que les premiers juges ont faite des divers témoignages et les critères retenus à la base de cette appréciation. Elle leur fait grief d'avoir mis en balance d'une part les témoignages en faveur de l'accusé et d'autre part ceux en faveur de sa version des faits; il serait arbitraire d'en conclure qu'on ne pouvait rien en retenir.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Aperçu de jurisprudence sur les voies de recours à la Cour de cassation pénale du Tribunal cantonal vaudois, in JT 1989 III 98,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D'amples considérations d'un recourant, déclarant erronées certaines appréciations du jugement avant de plaider à nouveau sa propre thèse de l'appréciation des faits et témoignages, ne sont pas suffisantes (Cass., A., 9 mars 1999, n° 249; Bersier, op. cit., p. 83; Besse-Matile/Abravanel, op. cit., p. 104 et les réf. cit.).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c) En l'espèce, on ne saurait suivre le raisonnement d'E.________ selon laquelle le fait que le tribunal ait traité sur pied d'égalité les témoins qui lui étaient favorables avec ceux qui ne l'étaient pas est choquant. Premièrement, la cour de céans relève que le litige qui oppose les parties a duré près de sept ans et qu'il n'est pas rare, dans de tels cas, que les témoignages recueillis lors des débats se contredisent. Deuxièmement, il sied de relever que même si les déclarations des témoins ont pu en quelque sorte être influencées par les affirmations faites par l'un ou l'autre des protagonistes, ceci ne signifie pas encore que ces témoins manquent d'objectivité ou de sincérité. Troisièmement, les témoignages en cause ne reposaient en l'occurrence que sur des constatations indirectes, comme l'ont précisé les premiers juges (jugt, p. 12, par. 3), de sorte qu'il n'y avait rien d'arbitraire à considérer qu'aucun des témoins entendus ne paraissait plus crédible qu'un autre et que, partant, les témoignages, pris dans leur ensemble, s'annulaient (jugt, p. 13 in initio ). Sur ce point, on soulignera que les témoins auxquels la prénommée se réfère se limitent d'ailleurs à reproduire ses propres allégations (recours, pp. 7 ss), sans qu'il soit possible de vérifier l'exactitude de ces dernières, faute de preuve matérielle ou de constatation directe; c'est donc en vain que la plaignante tente de tirer argument du fait que les personnes entendues ont confirmé ses dires. Quatrièmement, force est de constater que le tribunal a procédé à l'audition de huit des onze témoins dont la plaignante avait requis l'assignation (pièce 120), les trois autres ne s'étant pas présentés à l'audience de jugement; au total, il a entendu dix-sept témoins (jugt, p. 13 in initio ), ce qui lui a permis de se forger une conviction. Le fait que les premiers juges aient dégagé la personnalité de la plaignante et examiné la crédibilité de ses déclarations n'est pas non plus arbitraire, dans la mesure où, d'une part, comme on l'a relevé ci-haut, elle était à l'origine des faits rapportés par les témoins dont elle a demandé l'audition et, d'autre part, la personnalité de l'intimé a, elle aussi, été analysée. Enfin, le tribunal a également pris en compte les déclarations des professionnels de la santé. Au vu de ce qui précède, les premiers juges ne se sont pas livrés à une appréciation arbitraire des preuves, en retenant que le doute, raisonnable, devait profiter à l'accusé. Partant, les moyens soulevés par la recourante sont mal fondés et doivent être rejetés.</w:t>
      </w:r>
    </w:p>
    <w:p>
      <w:r>
        <w:rPr>
          <w:b/>
        </w:rPr>
        <w:t>E. 5</w:t>
      </w:r>
    </w:p>
    <w:p>
      <w:r>
        <w:t>a) E.________ reproche ensuite aux premiers juges de n'avoir pas tenu compte des déclarations de la psychologue C.________ entendue dans le cadre de la procédure civile et dont le procès-verbal leur a été remis. b) On relèvera tout d'abord que le témoin précité a été assigné mais ne s'est pas présenté à l'audience du 27 avril 2009 car avait déménagé (jugt, p. 4) et que, par conséquent, le procès-verbal d'audition produit par l'accusé (pièce 142) et lu à l'audience entrait dans l'appréciation générale des témoignages, appréciation qui, comme on l'a vu ci-dessus, n'est nullement arbitraire. Au demeurant, il ressort du procès-verbal en question que C.________ n'a pas vu la plaignante en consultation en 2002, mais seulement en 2000 et 2001 (pièce 142, p. 1). Or, les faits en raison desquels l'intimé a été renvoyé se seraient déroulés entre février et juin 2002 (ordonnance de renvoi du 4 juin 2008, p. 2). Dans ces conditions, ledit procès-verbal ne permet pas d'attester la véracité des événements litigieux, de sorte que la recourante prétend à tort qu'il constituerait un élément capital. Le fait que celle-ci ait eu des relations difficiles avec son conjoint en 2001 n'y change rien, cet élément ne permettant pas à lui seul d'admettre la crédibilité des affirmations de la plaignante au sujet des actes dont elle aurait été victime en 2002. Le moyen est mal fondé et doit donc être rejeté.</w:t>
      </w:r>
    </w:p>
    <w:p>
      <w:r>
        <w:rPr>
          <w:b/>
        </w:rPr>
        <w:t>E. 6</w:t>
      </w:r>
    </w:p>
    <w:p>
      <w:r>
        <w:t>a) E.________ fait grief au tribunal de n'avoir pas admis qu'elle était, à l'époque, une femme soumise et aliénée à son époux. b) La prénommée ne fait ici que fournir sa propre version des faits, ce qui est irrecevable dans le cadre d'un recours en nullité. Au surplus, cet argument tombe à faux; en effet, la plaignante indique d'abord qu'elle était devenue "la chose de son mari" dès son mariage (recours, p. 14, par. 3), avant d'affirmer, quelques lignes plus loin, que si elle avait été interrogée en 2001 pour décrire l'intimé, nul doute qu'elle l'aurait couvert d'éloges (recours, p. 15, par. 3). Ce raisonnement est d'autant plus contradictoire qu'il ressort du procès-verbal de la psychologue C.________, dont se prévaut d'ailleurs la recourante, que celle-ci s'était déjà plainte de son mari en 2001, comme on l'a vu lors de l'examen du précédent moyen. Par conséquent, ce grief est également mal fondé et doit être rejeté.</w:t>
      </w:r>
    </w:p>
    <w:p>
      <w:r>
        <w:rPr>
          <w:b/>
        </w:rPr>
        <w:t>E. 7</w:t>
      </w:r>
    </w:p>
    <w:p>
      <w:r>
        <w:t>a) Pour finir, E.________ s'en prend à l'appréciation que les premiers juges ont faite de la portée des propos tenus par l'accusé à son encontre, de l'intention de ce dernier et de l'impact que les menaces ont eu sur elle. b) Avec le tribunal (jugt, pp. 15 s.), il faut constater qu'au vu du contexte de tension qui régnait entre les époux au moment des faits litigieux et de la personnalité de chacun d'eux ainsi que du cours ordinaire des choses et de l'expérience générale de la vie, l'appréciation du tribunal n'est pas arbitraire. Mal fondé, le moyen ne peut qu'être rejeté.</w:t>
      </w:r>
    </w:p>
    <w:p>
      <w:r>
        <w:rPr>
          <w:b/>
        </w:rPr>
        <w:t>E. 8</w:t>
      </w:r>
    </w:p>
    <w:p>
      <w:r>
        <w:t>Pour le surplus, on précisera que les arguments de la plaignante sont d'ordre purement appellatoire, celle-ci se bornant à proposer sa propre interprétation des faits et à substituer sa version des événements à celle retenue par le tribunal sans expliquer d'ailleurs en quoi ce dernier se serait trompé et aurait fait preuve d'arbitraire . En définitive, l'appréciation que le tribunal a faite des preuves à sa disposition est fondée sur des critères pertinents et soutenables.</w:t>
      </w:r>
    </w:p>
    <w:p>
      <w:r>
        <w:rPr>
          <w:b/>
        </w:rPr>
        <w:t>E. 9</w:t>
      </w:r>
    </w:p>
    <w:p>
      <w:r>
        <w:t>En conclusion, le recours d'E.________ doit être rejeté et le jugement confirmé, en application de l'art. 431 al. 2 CPP. Vu l'issue du recours, les frais de deuxième instance seront supportés par la prénommée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