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165 vom 27. Mai 2009</w:t>
      </w:r>
    </w:p>
    <w:p>
      <w:r>
        <w:t>VD Tribunal cantonal, 2009-05-27, FR</w:t>
      </w:r>
    </w:p>
    <w:p>
      <w:r>
        <w:rPr>
          <w:b/>
        </w:rPr>
        <w:t xml:space="preserve">Quelle: </w:t>
      </w:r>
      <w:r>
        <w:t>https://mcp.opencaselaw.ch/entscheid/vd_findinfo_HC___2009___165</w:t>
      </w:r>
    </w:p>
    <w:p>
      <w:r>
        <w:t>FR: VD_FINDINFO HC / 2009 / 165 du 27 mai 2009</w:t>
      </w:r>
    </w:p>
    <w:p>
      <w:r>
        <w:t>IT: VD_FINDINFO HC / 2009 / 165 del 27 maggio 2009</w:t>
      </w:r>
    </w:p>
    <w:p>
      <w:pPr>
        <w:pStyle w:val="Heading2"/>
      </w:pPr>
      <w:r>
        <w:t>Regeste</w:t>
      </w:r>
    </w:p>
    <w:p>
      <w:r>
        <w:t>MOYEN DE DROIT CANTONAL, RECOURS EN NULLITÉ{ART. 68 OJ} | 444 al. 1 ch. 3 CPC, 461 CPC, 465 al. 1 CPC</w:t>
      </w:r>
    </w:p>
    <w:p>
      <w:pPr>
        <w:pStyle w:val="Heading2"/>
      </w:pPr>
      <w:r>
        <w:t>Erwägungen</w:t>
      </w:r>
    </w:p>
    <w:p>
      <w:r>
        <w:rPr>
          <w:b/>
        </w:rPr>
        <w:t>E. 1</w:t>
      </w:r>
    </w:p>
    <w:p>
      <w:r>
        <w:t>a) Contre un jugement rendu par un tribunal d'arrondissement statuant en procédure accélérée, les recours en nullité (art. 444 et 445 du Code de procédure civile du 14 décembre 1966 [CPC; RSV 270.11]) et en réforme (art. 451 ch. 2 CPC) sont ouverts. b) L'acte de recours doit contenir les conclusions du recourant et indiquer s'il tend à la nullité ou à la réforme, sous peine d'irrecevabilité (art. 461 al. 1 let. b et al. 2 CPC). Les exigences de cette disposition ne constituent pas une simple règle d'ordre, mais des conditions de recevabilité du recours (JT 1998 III 82 c. 1; Poudret/Haldy/Tappy, Procédure civile vaudoise,</w:t>
      </w:r>
    </w:p>
    <w:p>
      <w:r>
        <w:rPr>
          <w:b/>
        </w:rPr>
        <w:t>E. 3</w:t>
      </w:r>
    </w:p>
    <w:p>
      <w:r>
        <w:t>En conclusion, le recours doit être rejeté, en application de l'art. 465 al. 1 CPC, et le jugement maintenu. Les frais de deuxième instance du recourant sont arrêtés à 480 francs. Par ces motifs, la Chambre des recours du Tribunal cantonal, statuant à huis clos, en application de l'art. 465 al. 1 CPC, prononce : I. Le recours est rejeté. II. Le jugement est maintenu. III. Les frais de deuxième instance du recourant A.J.________ sont arrêtés à 480 fr. (quatre cent huitante francs). IV. L'arrêt motivé est exécutoire. Le président : La greffière : Du 27 mai 2009 Le dispositif de l'arrêt qui précède est communiqué par écrit aux intéressés. La greffière : Du L'arrêt qui précède, dont la rédaction a été approuvée à huis clos, est notifié en expédition complète, par l'envoi de photocopies, à : ‑      M. A.J.________, ‑      M e Jean-Michel Henny (pour la Commune de Z.________ ). La Chambre des recours considère que la valeur litigieuse est de 18'000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