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160 vom 6. Mai 2009</w:t>
      </w:r>
    </w:p>
    <w:p>
      <w:r>
        <w:t>VD Tribunal cantonal, 2009-05-06, FR</w:t>
      </w:r>
    </w:p>
    <w:p>
      <w:r>
        <w:rPr>
          <w:b/>
        </w:rPr>
        <w:t xml:space="preserve">Quelle: </w:t>
      </w:r>
      <w:r>
        <w:t>https://mcp.opencaselaw.ch/entscheid/vd_findinfo_HC___2009___160</w:t>
      </w:r>
    </w:p>
    <w:p>
      <w:r>
        <w:t>FR: VD_FINDINFO HC / 2009 / 160 du 6 mai 2009</w:t>
      </w:r>
    </w:p>
    <w:p>
      <w:r>
        <w:t>IT: VD_FINDINFO HC / 2009 / 160 del 6 maggio 2009</w:t>
      </w:r>
    </w:p>
    <w:p>
      <w:pPr>
        <w:pStyle w:val="Heading2"/>
      </w:pPr>
      <w:r>
        <w:t>Regeste</w:t>
      </w:r>
    </w:p>
    <w:p>
      <w:r>
        <w:t>SURSIS PARTIEL À L'EXÉCUTION DE LA PEINE, CAPACITÉ DE DISCERNEMENT | 19 al. 1 CP, 19 al. 2 CP, 42 CP, 43 CP, 411 let. j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Le recourant invoque le principe in dubio pro reo en relation avec l'appréciation de sa responsabilité, respectivement de son irresponsabilité au regard de sa consommation d'alcool le jour des faits incriminés. Or, la présomption d'innocence ne s'applique pas à la détermination de la responsabilité de l'accusé. La pleine responsabilité est en effet présumée. L'irresponsabilité ou la responsabilité restreinte (cf. l'art. 19 CP) ne peut ainsi être admise que si le juge est convaincu que les conditions légales en sont remplies (cf. par ex. JT 1981 III 148, dont les principes restent applicables sous l'empire du nouveau droit).</w:t>
      </w:r>
    </w:p>
    <w:p>
      <w:r>
        <w:rPr>
          <w:b/>
        </w:rPr>
        <w:t>E. 2</w:t>
      </w:r>
    </w:p>
    <w:p>
      <w:r>
        <w:t>Le moyen de nullité doit dès lors être écarté dans la mesure où il tend à contester la présomption de responsabilité. Toutefois, le recourant paraît également s'en prendre à l'appréciation des faits par premiers juges, dans la mesure où ceux-ci n'ont pas retenu le taux d'alcoolémie calculé par les experts. Ce faisant, il se prévaut implicitement du moyen de nullité de l'art. 411 let. i CPP. Il reste dès lors à déterminer si le principe in dubio pro reo pourrait trouver application à ce titre.</w:t>
      </w:r>
    </w:p>
    <w:p>
      <w:r>
        <w:rPr>
          <w:b/>
        </w:rPr>
        <w:t>E. 2.1</w:t>
      </w:r>
    </w:p>
    <w:p>
      <w:r>
        <w:t>a) En procédure vaudoise, le principe in dubio pro reo est considéré comme un moyen de nullité et non plus de réforme (JT 2007 III 82 s.; 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arrêt I., 13 octobre 1994, ad Cass., 30 mai 1994).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2.2a) En l'espèce, les premiers juges ont expliqué pourquoi ils se sont écartés de l'expertise. L'experts se sont fondés sur un taux d'alcoolémie théorique, en partant de la prémisse que l'accusé, la victime et leur hôtesse avaient, le 28 janvier 2007, consommé deux litres de rhum répartis de façon égale entre eux. Le tribunal correctionnel a en particulier considéré que, «Dans la mesure où le Tribunal ne connaît pas avec précision la quantité de boisson ingurgitée par chacun des intéressés, il ne peut pas sans autre retenir un taux d'alcoolémie compris entre 3,2 et 4,2 g o/oo. Les déclarations du témoin W.________ quant à l'état d'M.________ au moment des faits emportent donc plus la conviction que le calcul théorique auquel s'est livré l'expert». Les premiers juges ont ajouté que la concentration d'alcool dans le sang, pour autant qu'elle puisse être mesurée avec précision, n'est pas seule décisive pour apprécier la capacité de discernement de l'auteur, mais qu'elle n'est qu'un indice parmi d'autres d'une éventuelle altération de cette capacité. Ce raisonnement n'est en rien arbitraire pour ce qui est de l'appréciation des faits. b) Cela étant, toujours sous l'angle de la présomption d'irresponsabilité plaidée au vu du taux d'alcoolémie qu'il aurait présenté lors des faits, le recourant tente de remettre en cause le témoignage de W.________. Ce moyen est purement appellatoire et doit, partant, être écarté. Cependant, il y a lieu de déterminer si l' appréciation du témoignage par les premiers juges est arbitraire quant à l'appréciation de la responsabilité du recourant déduite de la déposition. Entendue comme témoin, la maîtresse de maison a expressément relevé que, même s'il avait bu, l'accusé était tout à fait lucide et conscient de ce qu'il faisait, en décrivant avec précision l'état et le comportement de chacun des deux intéressés, l'accusé étant décrit comme lucide et conscient de ses actes. Du reste, l'accusé a quitté le logement du témoin peu après les faits, apparemment sans difficulté. Tel n'est guère le comportement d'un homme présentant un taux d'alcoolémie de plus de 3 g o/oo, a fortiori de 4,2 g o/oo. Sur la base de ce témoignage, les premiers juges pouvaient ainsi, nonobstant l'expertise et sans arbitraire, retenir que le taux d'alcoolémie du recourant était inférieur à 3 g o/oo. Cela étant, la question du degré de responsabilité devra être examinée dans le cadre du recours en réforme. Enfin, le recourant est d'autant plus mal venu de faire plaider l'irresponsabilité totale qu'il avait soutenu, en cours d'enquête et aux débats, avoir été, lors des actes incriminés, parfaitement conscient de ce qu'il faisait (jgmt, p. 8 in initio). Le recours en nullité doit ainsi être rejeté 3.1 Il y a lieu d'examiner le recours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3.2a) En réforme, le recourant ne revient pas expressément sur son degré de responsabilité, évoqué dans ses moyens de nullité. Toutefois, compte tenu de sa conclusion tendant à ce que qu'il soit libéré de l'accusation d'actes d'ordre sexuel sur une personne incapable de discernement ou de résistance, il y a néanmoins lieu d'examiner cette question. b) Le degré de diminution de responsabilité est une question de droit et relève, partant, de la cognition de la cour de céans dans le cadre du recours en réforme. L'art. 19 CP prévoit que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Si l'auteur pouvait éviter l'irresponsabilité ou la responsabilité restreinte et prévoir l'acte commis en cet état, les al. 1 à 3 ne sont pas applicables (al. 4). S'agissant de déterminer la diminution de responsabilité d'un auteur pris de boisson, le Tribunal fédéral a statué que c'est l'état psychopathologique - l'ivresse - et les troubles qu'il entraîne qui sont décisifs et non la cause de celui-ci à savoir la quantité d'alcool consommé qu'indique le taux d'alcoolémie (Favre, Pellet et Stoudmann, Code pénal annoté, 3e éd., Lausanne 2007, note</w:t>
      </w:r>
    </w:p>
    <w:p>
      <w:r>
        <w:rPr>
          <w:b/>
        </w:rPr>
        <w:t>E. 2.4</w:t>
      </w:r>
    </w:p>
    <w:p>
      <w:r>
        <w:t>ad art. 19). Il est présumé qu'une alcoolémie de plus de 3 g o/oo entraîne une irresponsabilité totale, cette présomption étant toutefois réfragable (ATF 122 IV 49, c. 1b, JT 1998 IV 10, cité par le tribunal correctionnel et dont les principes restent applicables sous l'empire du nouveau droit). c) En l'espèce, le jugement retient que l'accusé était en l'état d'ivresse lors des faits incriminés. La question de sa responsabilité se pose donc. D'abord, il ne peut s'agir d'une irresponsabilité totale . En effet, cette hypothèse est exclue en fait par la déposition de la maîtresse de maison, tenue pour crédible, aux termes de laquelle, même s'il avait bu, l'accusé était tout à fait lucide et conscient de ce qu'il faisait. Pour leur part, les experts se sont limités à extrapoler un taux d'alcoolémie théorique à partir de la prémisse d'une consommation répartie à parts égales entre convives, proportion que le témoin n'a pas confirmée et qui ne ressort par ailleurs d'aucun fait de la cause. Comme en a statué l'autorité de première instance, les motifs étayés en fait par la déposition mènent à renverser la présomption d'irresponsabilité complète qui aurait procédé du taux d'alcoolémie théorique de plus de 3 g o/oo déterminé par les experts (cf. ATF 122 IV 49 précité, c. 1c). Au surplus, c'est à juste titre que le tribunal correctionnel a rappelé que le taux en question ne constitue en principe qu'un indice parmi d'autres d'une altération de la capacité de discernement de l'auteur. C'est ainsi sans arbitraire aucun qu'ils ont nié toute irresponsabilité totale. Ensuite, pour ce qui est de l'irresponsabilité partielle , le même témoignage établit l'ampleur des libations de l'accusé, l'alcool fort consommé par les convives étant expressément désigné et quantifié avec une relative précision. Partant, les premiers juges ont retenu une diminution de la responsabilité de l'auteur, qualifiée de légère à moyenne et qu'ils ont fixée à un tiers. Le taux de diminution retenu ne prête pas le flanc à la critique, s'agissant d'une consommation assurément significative même si elle n'avait pas été exactement quantifiée. Il pourrait même apparaître comme assez favorable au recourant au vu du comportement de l'intéressé, décrit par le témoin comme lucide et maîtrisé. Le taux de la responsabilité, restreint d'un tiers, ne saurait ainsi être remis en cause. De surcroît, le jugement peut paraître clément dans la mesure où les premiers juges n'ont pas appliqué l'art. 19 al. 4 CP, alors même que l'accusé avait montré des velléités libidineuses à l'égard de sa victime avant même de se rendre chez le témoin et de continuer à consommer massivement de l'alcool. Ce moyen doit donc être rejeté. 3.3 En ce qui concerne la quotité de la peine, elle n'est pas contestée en tant que telle. a)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b) Ici, en déterminant sa quotité, le tribunal n'a pas tenu compte d'éléments étrangers à l'art. 47 CP. Ceux pris en compte sont complets et pertinents. La peine prononcée se situe dans le cadre légal. On se bornera à observer qu'elle est relativement sévère, sans l'être arbitrairement. 3.4 La conclusion subsidiaire en réforme tend à l'octroi du sursis, avec délai d'épreuve de deux ans, en d'autres termes à ce que le recourant soit mis au bénéfice d'un sursis ordinaire et non partiel. 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Le sursis partiel est prévu par l'art. 43 al. 1 CP, ses modalités étant régies par l'art. 43 al. 2 et 3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S'agissant en particulier des critères d'application de l'art. 42 al. 2 CP, qui est une loi spéciale par rapport à l'art. 42 al. 1 CP,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précité, c. 4.2.3). L'octroi ou le refus du sursis étant une question qui relève de l'appréciation du juge de première instance, la Cour de cassation n'intervient en cette matière que si le premier juge n'a pas motivé sa décision, s'il l'a fondée sur des arguments juridiques critiquables ou sur un raisonnement manifestement insoutenable ou encore s'il a outrepassé son pouvoir d'appréciation (JT 1991 III 19 et 52). b) En l'espèce, le recourant a été condamné à une peine de six mois d'emprisonnement en 2004 (Procureur général de Genève, 8 juin 2004), soit dans les cinq ans précédant l'infraction ici en cause. Le sursis ordinaire est donc exclu en principe, sauf à mettre l'intéressé au bénéfice des conditions dérogatoires de l'art. 42 al. 2 in fine CP. Cependant, le recourant ne satisfait nullement aux circonstances particulièrement favorables exigées par cette norme légale. Certes, son évolution en ce qui concerne sa toxicomanie peut être considérée comme positive. Cela étant, comme l'ont relevé les premiers juges, le pronostic reste mitigé. Un premier élément défavorable est que le recourant n'exerce plus d'activité lucrative suivie depuis plusieurs années. L'essentiel est cependant le comportement dont il avait fait preuve en audience. A ce propos, on notera que, contrairement à ce qu'il soutient, ce n'est pas le fait d'avoir plaidé l'irresponsabilité qui a été retenu à son encontre, mais son attitude, qualifiée de détestable, consistant à inverser les rôles, à se positionner en victime et à faire passer sa victime pour une fille malade toxicomane et de petite vertu. Comme en ont statué les premiers juges, une telle attitude démontre une absence de prise de conscience de la gravité des actes qui lui sont reprochés. Il s'ensuit que le fait que les précédentes condamnations aient été prononcées pour des infractions dans une large mesure sans rapport avec celles réprimées dans la présente procédure (la contravention à la loi fédérale sur les stupéfiants cédant le pas en gravité à l'infraction contre l'intégrité sexuelle) n'est pas déterminant sous l'angle du pronostic. c) Il s'ensuit que le recours en réforme doit être rejeté à l'instar du recours en nullité. Au surplus, les conclusions civiles allouées à la plaignante ne sont pas contestées en elles-mêmes. Vérifiée d'office, leur quotité s'avère adéquate.</w:t>
      </w:r>
    </w:p>
    <w:p>
      <w:r>
        <w:rPr>
          <w:b/>
        </w:rPr>
        <w:t>E. 4</w:t>
      </w:r>
    </w:p>
    <w:p>
      <w:r>
        <w:t>En conclusion, le recours doit être rejeté en application de l'art. 431 al. 2 CPP. Le jugement est confirmé. Vu l'issue du recours, les frais de deuxième instance , y compris l'indemnité allouée à son défenseur d'office, par 550 fr., sont mis à la charge du recourant (art. 450 al. 1 CPP). Le remboursement à l'Etat de l'indemnité due au défenseur d'office sera exigible pour autant que la situation économique du recourant se soit améliorée (TF, arrêt du 5 décembre 2008, 6B_611/2008, ad Cass du 15 avril 2008 , c. 2.4, spéc. 2.4.3, publié aux ATF 135 I 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