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 vom 5. Juni 2009</w:t>
      </w:r>
    </w:p>
    <w:p>
      <w:r>
        <w:t>VD Tribunal cantonal, 2009-06-05, FR</w:t>
      </w:r>
    </w:p>
    <w:p>
      <w:r>
        <w:rPr>
          <w:b/>
        </w:rPr>
        <w:t xml:space="preserve">Quelle: </w:t>
      </w:r>
      <w:r>
        <w:t>https://mcp.opencaselaw.ch/entscheid/vd_findinfo_HC___2009___16</w:t>
      </w:r>
    </w:p>
    <w:p>
      <w:r>
        <w:t>FR: VD_FINDINFO HC / 2009 / 16 du 5 juin 2009</w:t>
      </w:r>
    </w:p>
    <w:p>
      <w:r>
        <w:t>IT: VD_FINDINFO HC / 2009 / 16 del 5 giugno 2009</w:t>
      </w:r>
    </w:p>
    <w:p>
      <w:pPr>
        <w:pStyle w:val="Heading2"/>
      </w:pPr>
      <w:r>
        <w:t>Regeste</w:t>
      </w:r>
    </w:p>
    <w:p>
      <w:r>
        <w:t>POUVOIR D'EXAMEN, SPHÈRE PRIVÉE, OBLIGATION DE PRODUIRE DES PIÈCES | 179 CPC, 180 al. 2 CPC, 180 CPC, 200 CPC, 489 CPC</w:t>
      </w:r>
    </w:p>
    <w:p>
      <w:pPr>
        <w:pStyle w:val="Heading2"/>
      </w:pPr>
      <w:r>
        <w:t>Erwägungen</w:t>
      </w:r>
    </w:p>
    <w:p>
      <w:r>
        <w:rPr>
          <w:b/>
        </w:rPr>
        <w:t>E. 1</w:t>
      </w:r>
    </w:p>
    <w:p>
      <w:r>
        <w:t>a) L'art. 180 al. 2 CPC (Code de procédure civile du 14 décembre 1966; RSV 270.11) ouvre au tiers requis le recours au Tribunal cantonal contre l'ordonnance de production, par mémoire motivé déposé dans les dix jours dès la notification de l'ordonnance. Le recours, interjeté en temps utile, est ainsi recevable. b) L'art. 180 al. 2 CPC ne permet pas de déterminer le pouvoir d'examen de la Chambre des recours. S'agissant d'une ordonnance de production à l'égard d'un tiers, le recours n'oppose pas deux parties divisées par une instance. Les règles de la procédure contentieuse n'apparaissent ainsi pas applicables. La voie de droit de l'art. 180 al. 2 CPC est assimilable à celle de l'art. 195 al. 2 CPC (Schwaab, Devoirs de discrétion et obligation de témoigner et de pro-duire des pièces, thèse Lausanne 1976, p. 193), cette dernière disposition ouvrant un recours non contentieux (JT 1998 III 66 c. 1 et l'arrêt cité). Il convient par conséquent d'admettre que l'art. 180 al. 2 CPC ouvre un recours non contentieux au sens des art. 489 ss CPC, sous la réserve que l'acte de recours doit être d'emblée motivé. c) Saisie d'un recours non contentieux, la Chambre des recours revoit librement la cause en fait et en droit (Poudret/Haldy/Tappy, Procédure civile vaudoise,</w:t>
      </w:r>
    </w:p>
    <w:p>
      <w:r>
        <w:rPr>
          <w:b/>
        </w:rPr>
        <w:t>E. 3</w:t>
      </w:r>
    </w:p>
    <w:p>
      <w:r>
        <w:t>La recourante soutient qu'il n'y a pas concubinage entre elle et l'intimé, faute de l'élément de communauté économique, que les documents requis appartiennent à sa sphère privée et intime, et que l'intimée n'a, en raison de l'absence de concubinage, aucun intérêt juridique à la production des pièces litigieuses. Selon l'art. 179 CPC, le tiers requis par le juge de produire un titre en sa possession peut s'y refuser si la preuve est sans pertinence (let. a), si la preuve se rapporte à un fait au sujet duquel, appelé à témoigner, il ne serait pas tenu de déposer en vertu des art. 198 à 201 CPC (let. b), s'il s'agit de document dont il serait en droit de refuser la production à teneur de l'art. 178 CPC, s'il était lui-même partie au procès (let. c). Par pertinence au sens de l'art. 179 let. a CPC, la doctrine entend l'aptitude du titre à rapporter la preuve du fait allégué, la nécessité de la preuve (soit en particulier, le caractère non superfétatoire de la preuve et l'absence de disproportion entre les difficultés de la preuve et le but de celle-ci), mais non la pertinence de l'allégué pour le litige (Visson, Droit à la production de pièces et discovery, thèse Lausanne 1997, p. 186) L'art. 200 CPC, auquel renvoie l'art. 179 let. b CPC, dispose que le juge peut dispenser le témoin de révéler des faits privés de nature confidentielle, le juge appréciant dans chaque cas en considération de l'importance de la preuve et de l'intérêt du témoin au secret. La loi ne prévoit donc pas le droit de refuser de révéler des faits privés de nature confidentielle, mais confère au juge le pouvoir d'en dispenser le témoin (Schwaab, op. cit., p. 158), en procédant à une pesée des intérêts (Schwaab, op. cit., p. 162). Cette pesée des intérêts est caractéristique de la détermination de l'illicéité d'une atteinte aux intérêts personnels protégés par l'art. 28 CC (Code civil du 10 décembre 1907; RS 210) (art. 28 al. 2 CC; Schwaab, op. cit., pp. 114-115; Bucher, Personnes physiques et protection de la personnalité, 5 ème éd., 2009, n° 516, p. 112). Avant cette pesée d'intérêt, le juge civil doit examiner deux points. Premièrement, lorsque la preuve entreprise ne nécessite qu'un témoignage restreint ou la production partielle d'un document, en forme d'extrait, évitant ainsi de compromettre un secret, le juge ne saurait exiger une information plus complète, mais inutile à l'instruction de la cause (Schwaab, op. cit., p. 129). L'art. 183 CPC prévoit d'ailleurs des mesures destinées à préserver les secrets, sans renoncer à la preuve. Deuxièmement, le juge civil doit examiner dans quelle mesure la preuve entreprise ne peut pas être rapportée d'une autre manière qui ne mette pas en cause la sphère intime ou privée d'un tiers au procès. Dans le premier cas, le maintien du secret perd de son importance, alors que, dans le second, rien ne s'oppose à ce qu'il soit protégé (Schwaab, op. cit., p. 130). En l'espèce, on ne se trouve pas dans un cas d'application de l'art. 170 al. 2 CC, dès lors que les informations requises n'ont pas trait à la situation patrimoniale de l'intimé (cf. Hausheer/Reusser/Geiser, Berner Kommentar, 1999, n. 29 ad art. 170 CC, p. 438). Ce sont donc les règles de la procédure cantonale qui s'appliquent. La réquisition litigieuse tend à établir la situation patrimoniale de la recourante et l'art. 183 CPC permet à celle-ci de requérir du juge la prise de mesures tendant à préserver sa sphère privée dans la mesure où les informations figurant dans les documents requis ne sont pas nécessaires à la preuve. Il apparaît en outre qu'il n'existe pas d'autre moyen de preuve apte à établir le fait litigieux sans atteinte à la sphère privée de l'intimée. Les documents requis sont aptes à établir la situation financière de la recourante, la preuve de cette situation ne fait pas l'objet d'une autre mesure d'instruction et son administration ne pose pas de difficultés particulières. La preuve litigieuse est donc pertinente au sens de l'art. 179 let. a CPC. L'intimée a un intérêt privé à connaître la situation patrimoniale de la recourante dès lors que cet élément est susceptible d'être pris en compte dans le calcul d'une éventuelle contribution alimentaire (cf. TF, 5P.90/2002, du 1 er juillet 2002 c. 2), l'intimé ayant admis, tant dans ses déterminations du 31 janvier 2006 que dans son courrier du 16 septembre 2008, qu'il vivait avec la recourante. Il ne convient pas à ce stade de la procédure de trancher la question de la qualification des relations entre la recourante et l'intimé et de déterminer si l'on se trouve en présence d'un concubinage. Cet élément, qui a été allégué par l'intimée et contesté par l'intimé dans la procédure au fond, fera l'objet d'une instruction dans le cadre de celle-ci. Cet intérêt privé de l'intimée doit, dans le cas particulier, l'emporter sur l'intérêt privé de la recourante au respect de sa sphère privée, ce d'autant que l'art. 183 CPC permet à celle-ci de la faire préserver pour les éléments qui ne sont pas nécessaires à la preuve. C'est dès lors à juste titre que le premier juge a rendu l'ordonnance attaquée.</w:t>
      </w:r>
    </w:p>
    <w:p>
      <w:r>
        <w:rPr>
          <w:b/>
        </w:rPr>
        <w:t>E. 4</w:t>
      </w:r>
    </w:p>
    <w:p>
      <w:r>
        <w:t>En conclusion, le recours doit être rejeté et l'ordonnance confirmée. Les frais de deuxième instance de la recourante sont arrêtés à 1'000 fr. (art. 236 TFJC; tarif du 4 décembre 1984 des frais judiciaires en matière civile; RSV 270.11.5). Par ces motifs, la Chambre des recours du Tribunal cantonal, statuant à huis clos, prononce : I. Le recours est rejeté. II. L'ordonnance est confirmée. III. Les frais de deuxième instance de la recourante K.________ sont arrêtés à 1'000 fr. (mille francs). IV. L'arrêt est exécutoire. L e président : L e greffi er : Du L'arrêt qui précède, dont la rédaction a été approuvée à huis clos, est notifié à : ‑      Me Jean de Mestral (pour K.________), ‑      Me Christophe Piguet (pour A.N.________), -      Me Laurent Maire (pour B.N.________). Il prend date de ce jour. La Chambre des recours considère que la valeur litigieuse est de 6'060'000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