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158 vom 21. Juli 2009</w:t>
      </w:r>
    </w:p>
    <w:p>
      <w:r>
        <w:t>VD Tribunal cantonal, 2009-07-21, FR</w:t>
      </w:r>
    </w:p>
    <w:p>
      <w:r>
        <w:rPr>
          <w:b/>
        </w:rPr>
        <w:t xml:space="preserve">Quelle: </w:t>
      </w:r>
      <w:r>
        <w:t>https://mcp.opencaselaw.ch/entscheid/vd_findinfo_HC___2009___158</w:t>
      </w:r>
    </w:p>
    <w:p>
      <w:r>
        <w:t>FR: VD_FINDINFO HC / 2009 / 158 du 21 juillet 2009</w:t>
      </w:r>
    </w:p>
    <w:p>
      <w:r>
        <w:t>IT: VD_FINDINFO HC / 2009 / 158 del 21 luglio 2009</w:t>
      </w:r>
    </w:p>
    <w:p>
      <w:pPr>
        <w:pStyle w:val="Heading2"/>
      </w:pPr>
      <w:r>
        <w:t>Regeste</w:t>
      </w:r>
    </w:p>
    <w:p>
      <w:r>
        <w:t>LIBÉRATION CONDITIONNELLE | 86 CP, 485m CPP, 26 LEP, 38 al. 1 LEP</w:t>
      </w:r>
    </w:p>
    <w:p>
      <w:pPr>
        <w:pStyle w:val="Heading2"/>
      </w:pPr>
      <w:r>
        <w:t>Erwägungen</w:t>
      </w:r>
    </w:p>
    <w:p>
      <w:r>
        <w:rPr>
          <w:b/>
        </w:rPr>
        <w:t>E. 1</w:t>
      </w:r>
    </w:p>
    <w:p>
      <w:r>
        <w:t>Depuis le 1er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 let. a LEP).</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recevable en la forme.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Le Ministère public fait valoir que les antécédents du condamné en matière d'infractions contre l'intégrité sexuelle et à la LCR sont lourds, à telle enseigne qu'une réitération est à craindre dans les deux domaines en cause, sachant que l'intimé persiste à nier toute problématique d'alcool en prétendant être en mesure de maîtriser sa consommation. Subsidiairement, le recourant considère que la libération conditionnelle devrait être grevée de conditions plus restrictives que celles imposées par le premier juge, en ce sens que l'intimé devrait être astreint à un suivi visant une stricte abstinence tant à l'alcool qu'aux stupéfiants.</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Tout pronostic constitue une prévision au sujet de laquelle on ne peut exiger une certitude absolue; il faut donc se contenter d'une certaine probabilité, un risque de récidive ne pouvant être complètement exclu (ATF 98 1b 106, c. 1b, JT 1973 IV 30, rés.; ATF 119 IV 5, c. 1b; Logoz, Commentaire du Code pénal suisse, 2ème éd., Neuchâtel et Paris 1976, n° 4a ad art. 38 CP; Maire, La libération conditionnelle, in Kuhn/Moreillon/Viredaz/Bichovsky, La nouvelle partie générale du Code pénal suisse, Berne 2006,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1b 27, JT 1978 IV 70; ATF 124 IV 193, c. 3, JT 2000 IV 162; ATF 125 IV 113; ATF 6B_72/2007 et les arrêts cités). S'agissant en particulier des peines privatives de liberté de durée limitée (à savoir dans les cas où le juge du fond n'a pas prononcé l'internement),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Il faut, dans tous les cas où ces avantages existent et doivent être pris en considération, choisir la libération conditionnelle plutôt qu'un refus qui ne résout rien et se borne à repousser le problème à plus tard. Il y a en outre lieu de rechercher si la libération conditionnelle, éventuellement assortie de règles de conduite et d'un patronage ne favoriserait pas mieux la resocialisation de l'auteur que l'exécution complète de la peine (ATF 124 IV 193 précité, c. 4d/bb). Cette jurisprudence reste applicable sous l'empire du nouveau droit (Cass. D., 21 juillet 2008, n° 282).</w:t>
      </w:r>
    </w:p>
    <w:p>
      <w:r>
        <w:rPr>
          <w:b/>
        </w:rPr>
        <w:t>E. 2.2</w:t>
      </w:r>
    </w:p>
    <w:p>
      <w:r>
        <w:t>En l'espèce, le condamné est éligible à la libération conditionnelle depuis le 7 août 2009. Le Juge d'application des peines a d'abord constaté le bon comportement de l'intéressé en prison, élément qui ne suffit évidemment pas à la libération conditionnelle. 2.3a) Pour ce qui est de la seconde des conditions cumulatives permettant la libération conditionnelle, il est exact que, comme le relèvent le premier juge et le Ministère public, le pronostic ne peut être que particulièrement réservé. En effet, l'intimé a été condamné à diverses reprises. Sa prise de conscience est limitée. Il minimise sa responsabilité. Enfin, il n'a pas conscience de la nécessité de suivre une psychothérapie pour canaliser le potentiel de violence qu'il présente. b) Toutefois, il convient d'évaluer la situation également sous l'angle de l'arrêt du TF précité (ATF 124 IV 193, traduit au JT 2000 IV 162, cité par le premier juge), résumé au considérant 2.1 ci-dessus. En l'espèce, l'intimé devrait être libéré définitivement en avril 2010. Il ne sera alors plus possible de lui fixer des règles de conduite ni des conditions. En conséquence, on peut admettre que le risque de réitération sera moindre avec une libération conditionnelle assortie de diverses conditions qu'avec une libération définitive, ce d'autant que la durée du délai d'épreuve imparti par le Juge d'application des peines est supérieure au solde de la peine. Il n'existe ainsi pas de motif de principe en défaveur de la libération conditionnelle (cf. l'arrêt précité, c. 4d/bb). La conclusion principale du recours doit donc être rejetée. 2.4a) Cela étant, doit encore être tranchée la question des conditions et règles de conduites grevant la libération conditionnelle, lesquelles font l'objet de la conclusion subsidiaire du recours. Le Ministère public ne conteste qu'une seule desdites conditions et règles, à savoir celle portant sur les contrôles toxicologiques. Il considère ainsi que, pendant le délai d'épreuve, le condamné devrait être soumis à des contrôles réguliers d'abstinence aussi bien à l'alcool qu'aux stupéfiants, alors que le Juge d'application des peines ne l'a astreint qu'à un suivi toxicologique tendant à une consommation modérée d'alcool. b) Concernant le risque de consommation de stupéfiants, il est excessif, inutilement coûteux et, partant, contraire au principe de la proportionnalité de faire subir des contrôles réguliers d'abstinence à une personne chez qui l'on a constaté qu'à une seule occasion qu'elle avait fumé du cannabis durant sa détention. c) En ce qui concerne l'alcool, il est en revanche établi que le condamné se livrait à des abus récurrents de boisson avant sa détention et qu'il avait bu à une reprise durant celle-ci. Certes, il n'est pas alcoolique au sens clinique du terme, à tout le moins le dossier ne comporte-il aucun élément dans ce sens. Il a toutefois tendance à conduire même après avoir bu. C'est ce comportement qui est à l'origine de la majorité et des plus graves des infractions à la LCR pour lesquelles il a été condamné. Notamment, par son jugement précité du</w:t>
      </w:r>
    </w:p>
    <w:p>
      <w:r>
        <w:rPr>
          <w:b/>
        </w:rPr>
        <w:t>E. 2.5</w:t>
      </w:r>
    </w:p>
    <w:p>
      <w:r>
        <w:t>Au vu de ce qui précède, c'est à juste titre que le Juge d'application des peines a libéré conditionnellement l'intimé, aux conditions énoncées par le jugement. 3. En définitive, le recours doit être rejeté et le jugement confirmé. Les frais de deuxième instance sont laissés à la charge de l'Etat.</w:t>
      </w:r>
    </w:p>
    <w:p>
      <w:r>
        <w:rPr>
          <w:b/>
        </w:rPr>
        <w:t>E. 7</w:t>
      </w:r>
    </w:p>
    <w:p>
      <w:r>
        <w:t>novembre 2007, le Tribunal correctionnel de l'arrondissement de Lausanne a ainsi sanctionné une ivresse au volant perpétrée avec un taux d'alcoolémie de 0,9 o/oo. Le jugement entrepris grève la libération conditionnelle notamment de la condition d'une "consommation modérée d'alcool" par l'intimé. Cette notion n'est pas définie en termes objectifs, notamment chiffrés. Comme le fait valoir le Ministère public, elle est ainsi floue et difficile à appliquer. Il n'en reste cependant pas moins que le condamné en a une idée assez précise et juste, donc réaliste, comme cela ressort du procès-verbal de son audition. En particulier, l'intéressé a expressément relevé avoir "effectué un travail sur (lui)-même" pour contrôler sa consommation et avoir atteint cet objectif, en précisant que sa future activité lucrative n'est pas compatible avec une consommation excessive d'alcool. Il est certes opposé à une abstinence (qui est totale par définition), mais adhère à ce que la libération conditionnelle soit assortie de contrôles visant une consommation modérée. Son comportement durant les congés a été adéquat et il ne semble pas présenter de désocialisation. Ainsi, il apparaît assez clairement que grever la libération conditionnelle d'une condition d'abstention totale de consommer de l'alcool serait vain et de nature à mettre en cause la libération conditionnelle en dépit de tous les éléments parlant par ailleurs contre un pronostic défavorable, énoncés à satisfaction par le premier juge. d) Cela étant, l'élément déterminant pour l'appréciation de sa dangerosité, donc du risque de réitération, est que les problèmes d'alcool du condamné sont en relation pour l'essentiel avec la conduite d'un véhicule. Or, l'intéressé s'est vu retirer son permis et le Juge d'application des peines lui a, outre les contrôles visant à établir une consommation modérée d'alcool, imposé l'abstention de conduire comme règle de comportement, à moins d'y être dûment autorisé par le service des automobiles compétent. Ces conditions prennent dès lors en compte la sécurité publique et favorisent la réinsertion (ou resocialisation) du condamné de manière au moins aussi adéquate qu'elles le feraient si elles étaient étendues à l'exigence de l'abstinence. On ajoutera que, si l'intimé veut récupérer son permis de conduire, il devra se soumettre aux conditions posées par le Service des automobiles et de la navigation, lesquelles risqueraient de faire inutilement double emploi avec celles fixées en application du droit pénal. e) En définitive, pour ce qui est des effets futurs de l'exécution intégrale de la peine opposés à ceux d'une libération conditionnelle, le risque de réitération ne sera pas accru par une libération anticipée aux conditions posées par le Juge d'application des peines et examinées ci-dessus . La conclusion subsidiaire du recours doit ainsi également être rejetée. Au surplus, comme déjà relevé, les autres conditions grevant la libération conditionnelle ne sont pas contestées, à juste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