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150 vom 23. Juli 2009</w:t>
      </w:r>
    </w:p>
    <w:p>
      <w:r>
        <w:t>VD Tribunal cantonal, 2009-07-23, FR</w:t>
      </w:r>
    </w:p>
    <w:p>
      <w:r>
        <w:rPr>
          <w:b/>
        </w:rPr>
        <w:t xml:space="preserve">Quelle: </w:t>
      </w:r>
      <w:r>
        <w:t>https://mcp.opencaselaw.ch/entscheid/vd_findinfo_HC___2009___150</w:t>
      </w:r>
    </w:p>
    <w:p>
      <w:r>
        <w:t>FR: VD_FINDINFO HC / 2009 / 150 du 23 juillet 2009</w:t>
      </w:r>
    </w:p>
    <w:p>
      <w:r>
        <w:t>IT: VD_FINDINFO HC / 2009 / 150 del 23 luglio 2009</w:t>
      </w:r>
    </w:p>
    <w:p>
      <w:pPr>
        <w:pStyle w:val="Heading2"/>
      </w:pPr>
      <w:r>
        <w:t>Regeste</w:t>
      </w:r>
    </w:p>
    <w:p>
      <w:r>
        <w:t>LIBÉRATION CONDITIONNELLE | 86 CP, 485m CPP, 26 LEP, 38 al. 1 LEP</w:t>
      </w:r>
    </w:p>
    <w:p>
      <w:pPr>
        <w:pStyle w:val="Heading2"/>
      </w:pPr>
      <w:r>
        <w:t>Erwägungen</w:t>
      </w:r>
    </w:p>
    <w:p>
      <w:r>
        <w:rPr>
          <w:b/>
        </w:rPr>
        <w:t>E. 1</w:t>
      </w:r>
    </w:p>
    <w:p>
      <w:r>
        <w:t>Depuis le 1er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1er litt.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In casu,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Le recourant conteste la décision du Juge d'application des peines de faire coïncider la date de sa libération conditionnelle à celle de son refoulement vers la Tunisie. Il demande un délai pour aller rechercher ses effets personnels entreposé chez des connaissances.</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La nouvelle partie générale du Code pénal suisse, Berne 2006, p. 361 s.).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2ème éd., Neuchâtel et Paris 1976, n° 4a ad art. 38 CP; Maire, op. cit.,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cité par la cour cantonale).</w:t>
      </w:r>
    </w:p>
    <w:p>
      <w:r>
        <w:rPr>
          <w:b/>
        </w:rPr>
        <w:t>E. 2.2</w:t>
      </w:r>
    </w:p>
    <w:p>
      <w:r>
        <w:t>En l'espèce, l'autorité intimée a considéré à juste titre qu'en cas de poursuite de son séjour en Suisse, le recourant se retrouverait dans des conditions de précarité qui feraient sérieusement craindre un risque de récidive, notamment en matière d'infraction contre le patrimoine. Seul reste possible, l'émission d'un pronostic non défavorable en cas de retour en Tunisie, pays où l'intéressé a des projets d'avenir et de la famille. Sur la base des renseignements fournis par le SPOP, notamment le fait qu' V.________ aurait déjà du quitter la Suisse en 2007, il incombait au magistrat de première instance de faire coïncider sa libération conditionnelle avec son renvoi pour la Tunisie. Il sied encore de préciser que le délai demandé par l'intéressé pour aller chercher ses valises ne saurait lui être accordé. En effet, non seulement la thèse du recourant à ce sujet n'est étayée par aucun élément, elle est aussi douteuse dans la mesure où ce dernier ne connaît ni le nom, ni l'adresse, ni le domicile des personnes à qui il aurait confié ses effets personnels. Au vu des éléments susmentionnés ainsi que du risque de récidive présenté par V.________ en cas de séjour en Suisse, le Juge d'application des peines était fondé à craindre que ce dernier ne tente de se soustraire à la mesure de refoulement. Au demeurant, l'intérêt public consistant à éviter la réitération de nouvelles infractions en Suisse l'emporte sur l'intérêt du recourant à récupérer ses affaires. C'est dès lors sans arbitraire que le premier juge a considéré que le pronostic à émettre ne saurait être favorable en l'espèce, sauf à prévoir le refoulement du recourant immédiatement après sa libération conditionnelle. Mal fondé, le moyen doit être rejeté.</w:t>
      </w:r>
    </w:p>
    <w:p>
      <w:r>
        <w:rPr>
          <w:b/>
        </w:rPr>
        <w:t>E. 3</w:t>
      </w:r>
    </w:p>
    <w:p>
      <w:r>
        <w:t>En définitive, le recours doit être rejeté et le jugement confirmé. Vu l'issue du recours, les frais de deuxième instance doivent être mis à la charge d'V.________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