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143 vom 28. Mai 2009</w:t>
      </w:r>
    </w:p>
    <w:p>
      <w:r>
        <w:t>VD Tribunal cantonal, 2009-05-28, FR</w:t>
      </w:r>
    </w:p>
    <w:p>
      <w:r>
        <w:rPr>
          <w:b/>
        </w:rPr>
        <w:t xml:space="preserve">Quelle: </w:t>
      </w:r>
      <w:r>
        <w:t>https://mcp.opencaselaw.ch/entscheid/vd_findinfo_HC___2009___143</w:t>
      </w:r>
    </w:p>
    <w:p>
      <w:r>
        <w:t>FR: VD_FINDINFO HC / 2009 / 143 du 28 mai 2009</w:t>
      </w:r>
    </w:p>
    <w:p>
      <w:r>
        <w:t>IT: VD_FINDINFO HC / 2009 / 143 del 28 maggio 2009</w:t>
      </w:r>
    </w:p>
    <w:p>
      <w:pPr>
        <w:pStyle w:val="Heading2"/>
      </w:pPr>
      <w:r>
        <w:t>Regeste</w:t>
      </w:r>
    </w:p>
    <w:p>
      <w:r>
        <w:t>LEX MITIOR, NE BIS IN IDEM, FIXATION DE LA PEINE, PEINE, SURSIS À L'EXÉCUTION DE LA PEINE, PRONOSTIC, ÂGE, RÉVOCATION DU SURSIS, POUVOIR D'APPRÉCIATION | 42 CP, 47 CP</w:t>
      </w:r>
    </w:p>
    <w:p>
      <w:pPr>
        <w:pStyle w:val="Heading2"/>
      </w:pPr>
      <w:r>
        <w:t>Erwägungen</w:t>
      </w:r>
    </w:p>
    <w:p>
      <w:r>
        <w:rPr>
          <w:b/>
        </w:rPr>
        <w:t>E. 4</w:t>
      </w:r>
    </w:p>
    <w:p>
      <w:r>
        <w:t>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(ATF 134 IV 1, c. 4.2.1). Dans l'hypothèse où un sursis antérieur est révoqué, il y a lieu de tenir compte des effets prévisibles de l'exécution de la peine qui en avait été assortie pour décider de l'octroi ou non du sursis à la nouvelle peine (ATF 134 IV 140, c. 4.5). b) L'octroi ou le refus du sursis étant une question qui relève de l'appréciation du juge de première instance, la Cour de cassation n'intervient que si le premier juge n'a pas motivé sa décision, s'il l'a fondée sur des arguments juridiques critiquables ou sur un raisonnement manifestement insoutenable ou encore s'il a outrepassé son pouvoir d'appréciation (Cass., 3 septembre 2008, n° 345; JT 1991 III 19; JT 1991 III 52). c) Le recourant soutient que le tribunal n'a pas examiné si la révocation du sursis accordé par le juge d'instruction le 8 novembre 2007 suffisait à faire un pronostic favorable. Il est vrai que le jugement ne dit rien à ce propos. Quoi qu'il en soit, force est de constater que la menace d'une peine pécuniaire n'a été d'aucun effet sur le recourant et que la révocation de la peine de 180 jours-amende à 30 fr. n'apparaît pas de nature non plus à modifier le pronostic, ce d'autant moins que le recourant est actuellement sans autre moyen de subsistance que l'aide d'urgence. Par ailleurs, le recourant n'entreprend aucune démarche pour quitter la Suisse et participe à un trafic de stupéfiants pour assurer une partie de son entretien. Dans ces conditions, la révocation du sursis ne permet pas de prévoir un effet tel que le pronostic ne serait plus défavorable, l'art. 42 al. 2 CP exigeant des circonstances particulièrement favorables, ce qui n'est pas le cas d'espèce.</w:t>
      </w:r>
    </w:p>
    <w:p>
      <w:r>
        <w:rPr>
          <w:b/>
        </w:rPr>
        <w:t>E. 5</w:t>
      </w:r>
    </w:p>
    <w:p>
      <w:r>
        <w:t>Le recourant demande enfin que le montant du jour-amende de la peine révoquée soit revu et fixé à un franc. La peine étant définitivement fixée par le juge qui avait condamné le recourant le 8 novembre 2007, il n'y a pas lieu de la revoir. Le moyen doit dès lors être écarté.</w:t>
      </w:r>
    </w:p>
    <w:p>
      <w:r>
        <w:rPr>
          <w:b/>
        </w:rPr>
        <w:t>E. 6</w:t>
      </w:r>
    </w:p>
    <w:p>
      <w:r>
        <w:t>En définitive, le recours doit être rejeté et le jugement confirmé. Vu l'issue du recours, les frais de deuxième instance, y compris l'indemnité allouée à son défenseur d'office, seront mis à la charge du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