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140 vom 15. April 2009</w:t>
      </w:r>
    </w:p>
    <w:p>
      <w:r>
        <w:t>VD Tribunal cantonal, 2009-04-15, FR</w:t>
      </w:r>
    </w:p>
    <w:p>
      <w:r>
        <w:rPr>
          <w:b/>
        </w:rPr>
        <w:t xml:space="preserve">Quelle: </w:t>
      </w:r>
      <w:r>
        <w:t>https://mcp.opencaselaw.ch/entscheid/vd_findinfo_HC___2009___140</w:t>
      </w:r>
    </w:p>
    <w:p>
      <w:r>
        <w:t>FR: VD_FINDINFO HC / 2009 / 140 du 15 avril 2009</w:t>
      </w:r>
    </w:p>
    <w:p>
      <w:r>
        <w:t>IT: VD_FINDINFO HC / 2009 / 140 del 15 aprile 2009</w:t>
      </w:r>
    </w:p>
    <w:p>
      <w:pPr>
        <w:pStyle w:val="Heading2"/>
      </w:pPr>
      <w:r>
        <w:t>Regeste</w:t>
      </w:r>
    </w:p>
    <w:p>
      <w:r>
        <w:t>ÉGALITÉ DES ARMES, DÉFENSE D'OFFICE, IN DUBIO PRO REO, PRÉSOMPTION D'INNOCENCE, APPRÉCIATION DES PREUVES, LÉSION CORPORELLE SIMPLE, FIXATION DE LA PEINE, EXCÈS ET ABUS DU POUVOIR D'APPRÉCIATION, POUVOIR D'APPRÉCIATION | 6 par. 2 CEDH, 123 ch. 1 al. 1 CP, 123 ch. 1 al. 2 CP, 47 CP, 104 al. 1 CPP, 104 al. 2 CPP, 411 let. b CPP, 411 let. g CPP, 411 let. i CPP, 32 al. 1 Cst.</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w:t>
      </w:r>
    </w:p>
    <w:p>
      <w:r>
        <w:rPr>
          <w:b/>
        </w:rPr>
        <w:t>E. 3</w:t>
      </w:r>
    </w:p>
    <w:p>
      <w:r>
        <w:t>a) Invoquant une violation du principe in dubio pro reo , le recourant considère que le premier juge n'aurait pas dû retenir les quatre témoignages recueillis aux débats, dans la mesure où les témoins ont des liens avec la plaignante. b)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(Bovay/Dupuis/Monnier/Moreillon/Piguet, op. cit., n. 11.4 ad art. 411 CPP; Besse-Matile/Abravanel, op.cit.). Il est donc examiné sous l'angle de l'art. 411 let. i CPP (JT 2004 III 53, c. 3c/bb;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c) Il s'agit de déterminer si, en l'espèce, c'est arbitrairement que le tribunal a retenu les témoignages de quatre personnes, qui ont toutes dit que le recourant leur avait confié avoir fait une grosse bêtise en donnant un coup de boule à la plaignante. Il est vrai que deux témoins appartiennent à la famille de la plaignante, soit sa tante et sa belle-mère. Tel n'est toutefois pas le cas des deux autres témoins, l'un étant professeur invité à l'école de danse de la plaignante et la dernière étant la mère d'un élève de cette école. Ces quatre témoins ont dit la même chose, alors qu'ils n'ont pas de liens entre eux et ne sont pas tous proches de la plaignante. C'est dès lors sans arbitraire que le premier juge pouvait retenir ces témoignages. Au surplus, face à quatre témoignages concordants, le premier juge n'avait pas à éprouver un doute sérieux au sens défini par la jurisprudence précitée. En conséquence, ce moyen de nullité doit être également écarté. II. Recours en réforme</w:t>
      </w:r>
    </w:p>
    <w:p>
      <w:r>
        <w:rPr>
          <w:b/>
        </w:rPr>
        <w:t>E. 4</w:t>
      </w:r>
    </w:p>
    <w:p>
      <w:r>
        <w:t>Le recourant considère que seules les voies de fait et non les lésions corporelles simples auraient dû être retenues à son encontre. L'infraction de lésions corporelles simples prévue à l'art. 123 CP (Code pénal du 21 décembre 1937; RS 311.0)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2002, n. 1 et 3 ad art. 123 CP, p. 135). L'art. 123 CP vise en particulier toutes les dégradations du corps humain, que la lésion soit externe ou interne, à la suite d'un choc ou de l'emploi d'un objet, telles les fractures sans complications, les foulures, les coupures et les hématomes (Corboz, op. cit., n. 7 ss ad art. 123 CP; ATF 119 IV 25, c. 2a; ATF 107 IV 40, c.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l'œil et une meurtrissure à la lèvre (ATF 103 IV 65, c.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 lésions corporelles au sens de l'art. 123 CP, mais seulement de voies de fait selon l'art. 126 CP, qui constituent l'atteinte la plus insignifiante au corps humain (ATF 119 IV 25, précité; ATF 117 IV 14, c. 2a/cc, JT 1993 IV 37). En l'occurrence, la plaignante a été frappée par le recourant le 24 avril 2008. Le certificat médical établi le 30 avril 2008, soit six jours plus tard, mentionne des traces de coups et des éraflures à l'arcade sourcilière droite, sur la partie droite du visage, à l'épaule droite et aux deux bras. Il est dès lors établi qu'il y a eu des lésions du corps humain, visibles encore six jours plus tard; des lésions corporelles doivent ainsi être retenues. Il ne s'agit en outre pas d'un cas de peu de gravité au sens de l'art. 123 ch. 1 al. 2 CP. En tenant compte en effet des circonstances à caractère subjectif, soit l'agression de la plaignante, l'application de cette disposition est à exclure. Le recourant, après avoir empêché la plaignante de quitter les lieux en la repoussant violemment, l'a empoignée aux bras, puis lui a donné deux coups de boule successifs. Suite à ces coups, la plaignante a souffert de traumatismes physique et psychique ainsi que d'un stress post-traumatique (cf. P. 11/1). C'est donc à bon droit que le premier juge a retenu les lésions corporelles simples.</w:t>
      </w:r>
    </w:p>
    <w:p>
      <w:r>
        <w:rPr>
          <w:b/>
        </w:rPr>
        <w:t>E. 5</w:t>
      </w:r>
    </w:p>
    <w:p>
      <w:r>
        <w:t>Le recourant se plaint enfin de ce que la peine prononcée à son encontre est trop sévère.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Bovay/Dupuis/Monnier/Moreillon/Piguet, op. cit., n. 1.4 ad art. 415 CPP; ATF 127 IV 101, c. 2c; ATF 122 IV 156, c. 3b; ATF 116 IV 288, c. 2b). b) En substance, le recourant soutient avoir agi sous le coup d'une détresse profonde et d'une émotion violente, au moment où la plaignante lui a annoncé qu'elle souhaitait diminuer son salaire ou le renvoyer. Il aurait alors réalisé qu'il perdait son travail, son logement, son amie et le résultat de cinq années de travail acharné. Il expose encore qu'il a dû vivre plusieurs mois dans la rue avant d'obtenir le revenu d'insertion et que la plaignante lui a causé un tort considérable d'un point de vue professionnel en écrivant à tous les parents des élèves de l'école de danse pour les informer qu'elle avait été victime de violences physiques de sa part. De tels éléments, qui ne figurent pas dans le jugement, sont irrecevables dans le cadre d'un recours en réforme. En s'en tenant aux faits retenus dans le jugement, aucun élément ne justifie de s'écarter de l'appréciation du premier juge selon laquelle les relations personnelles et professionnelles du recourant et de la plaignante permettaient certes de comprendre que ce dernier se soit emporté, mais ne sauraient justifier ou excuser son comportement. Le premier juge n'a donc pas fait preuve d'arbitraire en ne retenant pas l'émotion violente. Au vu de l'ensemble des éléments à charge et à décharge retenus par le premier juge, la peine, si elle apparaît sévère, n'est pas excessive.</w:t>
      </w:r>
    </w:p>
    <w:p>
      <w:r>
        <w:rPr>
          <w:b/>
        </w:rPr>
        <w:t>E. 6</w:t>
      </w:r>
    </w:p>
    <w:p>
      <w:r>
        <w:t>En définitive, le recours de J.________ ne peut qu'être rejeté et le jugement confirmé. Conformément à l'art. 450 al. 1 CPP, les frais de deuxième instance, y compris l'indemnité due à son défenseur d'office par 550 fr., seront supportés par J.________.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