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14 vom 8. April 2009</w:t>
      </w:r>
    </w:p>
    <w:p>
      <w:r>
        <w:t>VD Tribunal cantonal, 2009-04-08, FR</w:t>
      </w:r>
    </w:p>
    <w:p>
      <w:r>
        <w:rPr>
          <w:b/>
        </w:rPr>
        <w:t xml:space="preserve">Quelle: </w:t>
      </w:r>
      <w:r>
        <w:t>https://mcp.opencaselaw.ch/entscheid/vd_findinfo_HC___2009___14</w:t>
      </w:r>
    </w:p>
    <w:p>
      <w:r>
        <w:t>FR: VD_FINDINFO HC / 2009 / 14 du 8 avril 2009</w:t>
      </w:r>
    </w:p>
    <w:p>
      <w:r>
        <w:t>IT: VD_FINDINFO HC / 2009 / 14 del 8 aprile 2009</w:t>
      </w:r>
    </w:p>
    <w:p>
      <w:pPr>
        <w:pStyle w:val="Heading2"/>
      </w:pPr>
      <w:r>
        <w:t>Regeste</w:t>
      </w:r>
    </w:p>
    <w:p>
      <w:r>
        <w:t>PAR MÉTIER, FIXATION DE LA PEINE, PEINE COMPLÉMENTAIRE, SURSIS À L'EXÉCUTION DE LA PEINE | 139 ch. 2 CP, 42 CP, 47 CP, 49 CP, 415 CPP</w:t>
      </w:r>
    </w:p>
    <w:p>
      <w:pPr>
        <w:pStyle w:val="Heading2"/>
      </w:pPr>
      <w:r>
        <w:t>Erwägungen</w:t>
      </w:r>
    </w:p>
    <w:p>
      <w:r>
        <w:rPr>
          <w:b/>
        </w:rPr>
        <w:t>E. 1</w:t>
      </w:r>
    </w:p>
    <w:p>
      <w:r>
        <w:t>Le recours est exclusivement en réforme. En pareil cas, la cour de céans examine librement les questions de droit, sans être limitée aux moyens invoqués par les parties (art. 447 al. 1 er CPP). Elle est, en revanche, liée par les faits constatés dans le jugement attaqué, sous réserve des inadvertances manifestes qu'elle rectifie d'office (art. 447 al. 2 CPP). Elle ne peut cependant aller au-delà des conclusions du recourant.</w:t>
      </w:r>
    </w:p>
    <w:p>
      <w:r>
        <w:rPr>
          <w:b/>
        </w:rPr>
        <w:t>E. 2</w:t>
      </w:r>
    </w:p>
    <w:p>
      <w:r>
        <w:t>L'accusé conteste avoir agi par métier au sens de l'art. 139 ch. 2 CP.</w:t>
      </w:r>
    </w:p>
    <w:p>
      <w:r>
        <w:rPr>
          <w:b/>
        </w:rPr>
        <w:t>E. 2.1</w:t>
      </w:r>
    </w:p>
    <w:p>
      <w:r>
        <w:t>Aux termes de l'art. 139 ch. 2 CP, le vol sera puni d'une peine privative de liberté de dix ans au plus ou d'une peine pécuniaire de nonante jours-amende au moins si son auteur fait métier du vol. La circonstance aggravante du métier constitue une circonstance personnelle, dont la réalisation implique une activité à caractère professionnel.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188, c. 3.1.2; ATF 123 IV 113 c. 2c). L'importance des revenus obtenus illégalement pour l'entretien de l'auteur constitue un indice important pour statuer sur l'existence du métier (RSJB 130, p. 566).</w:t>
      </w:r>
    </w:p>
    <w:p>
      <w:r>
        <w:rPr>
          <w:b/>
        </w:rPr>
        <w:t>E. 2.2</w:t>
      </w:r>
    </w:p>
    <w:p>
      <w:r>
        <w:t>En l'espèce, le recourant a agi à plusieurs reprises puisque cinq vols lui sont notamment reprochés. Ce chiffre est suffisamment élevé pour envisager la circonstance aggravante du métier. L'activité déployée s'étend sur six mois, entrecoupée d'une période de détention préventive, ce qui atteste d'une fréquence plutôt soutenue des actes commis. Entre le 26 avril et le 8 mai 2008, soit moins de deux semaines, l'accusé a commis trois vols pour un butin supérieur à 20'000 francs. Il a ensuite été incarcéré entre le 16 mai et le 11 juin 2008 avant de commettre deux vols durant la période du 8 juillet au 24 octobre 2008 pour un butin supérieur à 1'300 francs. Il résulte de ce qui précède que le recourant s'est organisé en vue de satisfaire par la délinquance ses besoins matériels et qu'il a obtenu des revenus réguliers importants. Le nombre des infractions commises durant une courte période, la fréquence des actes et le revenu que K.________ en a perçu parlent pour l'admission du métier. On soulignera par ailleurs que le tribunal a considéré, de manière à lier la cour de céans, que le recourant avait démontré un savoir-faire et une organisation dans l'accomplissement de ses activités illicites (jgt., p. 10). Il ressort ainsi des faits retenus que l'activité délictueuse impliquait une certaine organisation. L'accusé a réalisé un butin important sur une période limitée ce qui démontre qu'il agissait dans le but d'obtenir des profits représentant une contribution considérable, au regard de sa situation personnelle, à ses frais d'entretien. Au demeurant, les cas dans lesquels le recourant est impliqué représentent un montant total de plusieurs milliers de francs et sont dès lors loin d'être aussi insignifiants qu'il tente de le soutenir. Par conséquent, c'est à juste titre que le tribunal a retenu la circonstance aggravante du métier. Mal fondé, le grief doit être rejeté.</w:t>
      </w:r>
    </w:p>
    <w:p>
      <w:r>
        <w:rPr>
          <w:b/>
        </w:rPr>
        <w:t>E. 3</w:t>
      </w:r>
    </w:p>
    <w:p>
      <w:r>
        <w:t>Le recourant reproche aux premiers juges de ne pas avoir prononcé une peine d'ensemble pour toutes les infractions qu'il a commises, soit celles pour lesquelles il a été renvoyé par le juge d'instruction de Lausanne le 18 décembre 2008 et celles pour lesquelles il a été condamné le 14 octobre 2008 par ordonnance de condamnation du juge d'instruction de Genève. Invoquant une violation de l'art. 47 CP, il soutient que la peine qui lui a été infligée est arbitrairement sévère. A l'appui du moyen qu'il soulève, il mentionne une série d'arrêts du Tribunal fédéral et compare la peine qui lui a été infligée à celles qui ont été prononcées dans ces cas. Il fait encore valoir que les premiers juges auraient violé le principe de l'interdiction de la double prise en considération en retenant, d'une part, l'infraction de vol par métier et, d'autre part, le fait que sa faute était lourde en raison des inconvénients endurés par les victimes et ses réitérations en cours d'enquête.</w:t>
      </w:r>
    </w:p>
    <w:p>
      <w:r>
        <w:rPr>
          <w:b/>
        </w:rPr>
        <w:t>E. 3.1</w:t>
      </w:r>
    </w:p>
    <w:p>
      <w:r>
        <w:t>Le cas du concours réel rétrospectif se présente lorsque l'accusé, qui a déjà été condamné pour une infraction, doit être jugé pour une autre infraction commise avant le premier jugement, mais que le tribunal ignorait. L'art. 49 al. 2 CP, qui correspond à l'art. 68 ch. 2 aCP,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6B.28/2008 du 10 avril 2008, c. 3.3.1; ATF 129 IV 113, c. 1, JT 2005 IV 51). Le tribunal qui prononce une peine complémentaire au sens de l'art. 49 al. 2 CP n'est pas tenu de reproduire dans son jugement les faits retenus dans la première décision rendue à l'égard de l'accusé, laquelle est censée être incorporée dans son propre jugement. En revanche, la démarche intellectuelle imposée au juge implique que celui-ci soit en possession du dossier du précédent jugement ou, à tout le moins, du jugement lui-même. Sa production doit donc être ordonnée d'office (Favre/Pellet/Stoudmann, op. cit., n. 2.6 ad art. 49 CP et les réf.cit.). Tel est au demeurant le cas en l'espèce (pièce 22).</w:t>
      </w:r>
    </w:p>
    <w:p>
      <w:r>
        <w:rPr>
          <w:b/>
        </w:rPr>
        <w:t>E. 3.2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3.2.1</w:t>
      </w:r>
    </w:p>
    <w:p>
      <w:r>
        <w:t>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(voir ATF 129 IV 6, c. 6.1; 127 IV 101, c. 2a; 117 IV 112 c. 1; 116 IV 288, c. 2a et les références citées). L'art. 47 CP n'énonce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(Bovay et alii., op. cit., n. 1.4 ad art. 415 CPP et les réf. cit.; ATF 134 IV 17, précité, c. 2.1). La notion d'arbitraire a été rappelée dans l'ATF 134 I 140 c. 5.4.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w:t>
      </w:r>
    </w:p>
    <w:p>
      <w:r>
        <w:rPr>
          <w:b/>
        </w:rPr>
        <w:t>E. 3.2.2</w:t>
      </w:r>
    </w:p>
    <w:p>
      <w:r>
        <w:t>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2e éd., 2007, n. 159 ad art. 47 CP, pp. 876 s. et les réf. cit.). Les comparaisons sont souvent établies avec des peines infligées à des auteurs impliqués dans des cas prétendument semblables. De telles comparaisons n'aboutissent en général pas à une modification de la sanction (Wiprächtiger, op. cit., n. 162 ad art. 47 CP, p. 879), pour les raisons évoquées.</w:t>
      </w:r>
    </w:p>
    <w:p>
      <w:r>
        <w:rPr>
          <w:b/>
        </w:rPr>
        <w:t>E. 3.3</w:t>
      </w:r>
    </w:p>
    <w:p>
      <w:r>
        <w:t>En préambule, il résulte de la jurisprudence citée ci-dessus relative à l'égalité de traitement que la comparaison avec d'autres jugements n'est pas pertinente. La cour de céans se limitera donc à examiner si la peine infligée est exagérément sévère. Les premiers juges ont estimé, à juste titre, que la peine à infliger était partiellement complémentaire à la condamnation intervenue en date du 14 octobre 2008. Au stade de la fixation de la peine, le tribunal a retenu, à charge de l'accusé, sa lourde culpabilité, le concours d'infractions, la réitération en cours d'enquête, son absence de respect des autorités judiciaires, son installation dans la délinquance, son absence de prise de conscience de la gravité des faits qui lui étaient reprochés ainsi que les mauvais renseignements recueillis à son sujet s'agissant de son comportement en détention. A décharge, les reconnaissances de dettes signées à l'audience ainsi que les excuses formulées ont été prises en considération. Ces éléments sont pertinents pour la fixation de la peine, qui a été fixée dans le cadre légal, et on n'en discerne pas d'importants qui auraient été omis ou pris en considération à tort . Au demeurant, le recourant est dans l'erreur lorsqu'il considère que le fait d'avoir agi par métier empêchait le tribunal de prendre en considération, parmi d'autres éléments, la réitération en cours d'enquête. Cela étant, la peine privative de liberté de vingt mois infligée à K.________ ne consacre aucun abus du large pouvoir d'appréciation des premiers juges en la matière et respecte le principe selon lequel, en cas de fixation d'une peine complémentaire, le délinquant ne doit pas être condamné plus sévèrement que s'il avait été jugé en une seule fois. Au vu de ces éléments, les moyens invoqués par le recourant sont mal fondés et ne peuvent qu'être rejetés.</w:t>
      </w:r>
    </w:p>
    <w:p>
      <w:r>
        <w:rPr>
          <w:b/>
        </w:rPr>
        <w:t>E. 4</w:t>
      </w:r>
    </w:p>
    <w:p>
      <w:r>
        <w:t>Le recourant fait grief au tribunal d'avoir renoncé à prononcer une peine avec sursis.</w:t>
      </w:r>
    </w:p>
    <w:p>
      <w:r>
        <w:rPr>
          <w:b/>
        </w:rPr>
        <w:t>E. 4.1</w:t>
      </w:r>
    </w:p>
    <w:p>
      <w:r>
        <w:t>Selon le nouvel 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Conformément à l'art. 42 al. 1 CP,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(ATF 134 IV 5, c. 4.2.1; ATF 128 IV 193, c. 3a; 118 IV 97, c.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5, c. 4.2.2). Pour poser le pronostic, le juge de répression dispose d'un large pouvoir d'appréciation; il y a toutefois violation du droit fédéral - qui peut être soulevée dans le cadre du recours en réforme (art. 415 al. 1 et 3 et 447 al. 1 CPP) -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4.2</w:t>
      </w:r>
    </w:p>
    <w:p>
      <w:r>
        <w:t>Au vu de sa situation précaire, de la récidive en cours d'enquête démontrant son ancrage dans la délinquance, de son absence de prise de conscience ainsi que de l'absence d'éléments, dans sa situation personnelle, susceptibles de conduire à une appréciation différente, on peut évidemment craindre au plus haut point une récidive. Au demeurant, contrairement à ce que le recourant soutient, il est illusoire d'espérer que la détention subie dès le 24 octobre 2008 exerce un effet de choc suffisant pour le dissuader de commettre de nouvelles infractions, alors que la détention préventive qu'il a supportée en cours d'enquête ne l'a pas empêché de récidiver. L'examen de l'ensemble des éléments du cas d'espèce conduit dès lors à un pronostic défavorable En conséquence, c'est sans arbitraire que les premiers juges ont renoncé à assortir du sursis la peine infligée au recourant.</w:t>
      </w:r>
    </w:p>
    <w:p>
      <w:r>
        <w:rPr>
          <w:b/>
        </w:rPr>
        <w:t>E. 5</w:t>
      </w:r>
    </w:p>
    <w:p>
      <w:r>
        <w:t>En définitive, aucun des moyens invoqués par le recourant n'est retenu. Son recours ne peut dès lors qu'être rejeté et le jugement confirmé, les frais de deuxième instance, y compris l'indemnité allouée à son défenseur d'office par 440 fr., étant mis à la charge de K.________, conformément à l'art. 450 al. 1 CPP. Le remboursement à l'Etat de l'indemnité allouée ci-dessus sera exigible pour autant que la situation de K.________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