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121 vom 15. Juli 2009</w:t>
      </w:r>
    </w:p>
    <w:p>
      <w:r>
        <w:t>VD Tribunal cantonal, 2009-07-15, FR</w:t>
      </w:r>
    </w:p>
    <w:p>
      <w:r>
        <w:rPr>
          <w:b/>
        </w:rPr>
        <w:t xml:space="preserve">Quelle: </w:t>
      </w:r>
      <w:r>
        <w:t>https://mcp.opencaselaw.ch/entscheid/vd_findinfo_HC___2009___121</w:t>
      </w:r>
    </w:p>
    <w:p>
      <w:r>
        <w:t>FR: VD_FINDINFO HC / 2009 / 121 du 15 juillet 2009</w:t>
      </w:r>
    </w:p>
    <w:p>
      <w:r>
        <w:t>IT: VD_FINDINFO HC / 2009 / 121 del 15 luglio 2009</w:t>
      </w:r>
    </w:p>
    <w:p>
      <w:pPr>
        <w:pStyle w:val="Heading2"/>
      </w:pPr>
      <w:r>
        <w:t>Regeste</w:t>
      </w:r>
    </w:p>
    <w:p>
      <w:r>
        <w:t>CONVERSION DE L'AMENDE | 106 CP, 36 CP, 27 LEP</w:t>
      </w:r>
    </w:p>
    <w:p>
      <w:pPr>
        <w:pStyle w:val="Heading2"/>
      </w:pPr>
      <w:r>
        <w:t>Erwägungen</w:t>
      </w:r>
    </w:p>
    <w:p>
      <w:r>
        <w:rPr>
          <w:b/>
        </w:rPr>
        <w:t>E. 1</w:t>
      </w:r>
    </w:p>
    <w:p>
      <w:r>
        <w:t>Selon les art. 106 al. 5 CP, 36 al. 2 CP et 27 al. 1 de la loi sur l'exécution des condamnations pénales du 4 juillet 2006 (LEP;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1.1</w:t>
      </w:r>
    </w:p>
    <w:p>
      <w:r>
        <w:t>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Le recours s'exerce par écrit dans les dix jours dès la notification de la décision attaquée (art. 485n al. 1 CPP). L'acte de recours doit être signé et indiquer les conclusions et motifs du recours (art. 485n al. 3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En l'occurrence, par courrier daté du 5 juin 2009 mais posté le 17 juin 2009, D.________ affirme qu'" après avoir reçu votre courrier en retard, j'avais pris contact par téléphone le Vendredi, 05 juin 2009, avec le service du cabané de Monsieur Pierre-Henry Knebel le juge, pour signalé mon recours, j'ai u sa secrétariat " (pièce 9). Dans une lettre adressée au Juge d'application des peines en date du 9 juillet 2009 il mentionne " je souhaite que ma lettre du 5 juin 2009, Doit être considéré ou interprété comme un recours à la cour pénale contre le prononcé du 19 Mai 2009 ". Il ressort indéniablement de la correspondance susmentionnée que le recourant a pris connaissance du prononcé contesté, à tout le moins, en date du 5 juin 2009. En conséquence, son recours, déposé le 17 juin 2009 paraît tardif et, partant, irrecevable.</w:t>
      </w:r>
    </w:p>
    <w:p>
      <w:r>
        <w:rPr>
          <w:b/>
        </w:rPr>
        <w:t>E. 2</w:t>
      </w:r>
    </w:p>
    <w:p>
      <w:r>
        <w:t>Par surabondance, on relèvera que, supposé recevable, le recours aurait dû être rejeté. Selon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 En l'espèce, le recourant invoque son surendettement lié à la perte de son emploi. Il ne produit cependant aucune pièce propre à étayer ses affirmations. Quant à son insolvabilité, elle ressort indéniablement de l'extrait des poursuites du 9 juillet 2009 qui fait état de poursuites d'un montant de 7'390 fr. 95 ainsi que d'actes de défaut de biens pour un montant total de 66'178 fr. 65. (pièce 12). C'est dès lors à juste titre que le Juge d'application des peines a considéré que le non‑paiement des amendes était fautif et, la poursuite pour dettes n'étant pas envisageable, qu'il a prononcé la conversion des amendes impayées en peine privative de liberté de substitution. Il convient de préciser que le recourant a toujours la possibilité de s'acquitter du montant de l'amende due pour éviter l'exécution de la peine privative de liberté (cf. art. 36 al. 1 i. f. CP et le Message y relatif in FF 1998 1787 ss, spéc. 1823).</w:t>
      </w:r>
    </w:p>
    <w:p>
      <w:r>
        <w:rPr>
          <w:b/>
        </w:rPr>
        <w:t>E. 3</w:t>
      </w:r>
    </w:p>
    <w:p>
      <w:r>
        <w:t>En définitive, le recours de D.________ doit être écarté en application de l'art. 485t al. 2 CPP et le prononcé maintenu.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