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12 vom 27. Mai 2009</w:t>
      </w:r>
    </w:p>
    <w:p>
      <w:r>
        <w:t>VD Tribunal cantonal, 2009-05-27, FR</w:t>
      </w:r>
    </w:p>
    <w:p>
      <w:r>
        <w:rPr>
          <w:b/>
        </w:rPr>
        <w:t xml:space="preserve">Quelle: </w:t>
      </w:r>
      <w:r>
        <w:t>https://mcp.opencaselaw.ch/entscheid/vd_findinfo_HC___2009___12</w:t>
      </w:r>
    </w:p>
    <w:p>
      <w:r>
        <w:t>FR: VD_FINDINFO HC / 2009 / 12 du 27 mai 2009</w:t>
      </w:r>
    </w:p>
    <w:p>
      <w:r>
        <w:t>IT: VD_FINDINFO HC / 2009 / 12 del 27 maggio 2009</w:t>
      </w:r>
    </w:p>
    <w:p>
      <w:pPr>
        <w:pStyle w:val="Heading2"/>
      </w:pPr>
      <w:r>
        <w:t>Regeste</w:t>
      </w:r>
    </w:p>
    <w:p>
      <w:r>
        <w:t>EXPULSION DE LOCATAIRE, NOTIFICATION DE LA DÉCISION, TÉLÉCOPIE, NOTIFICATION PAR HUISSIER | 17 CPC, 26 CPC, 33 CPC, 20 LPEBL, 21 LPEBL</w:t>
      </w:r>
    </w:p>
    <w:p>
      <w:pPr>
        <w:pStyle w:val="Heading2"/>
      </w:pPr>
      <w:r>
        <w:t>Erwägungen</w:t>
      </w:r>
    </w:p>
    <w:p>
      <w:r>
        <w:rPr>
          <w:b/>
        </w:rPr>
        <w:t>E. 1</w:t>
      </w:r>
    </w:p>
    <w:p>
      <w:r>
        <w:t>La première question qui se pose est celle de savoir si le délai découlant de la prolongation de la validité de l'ordonnance d'expulsion (art. 21 al. 2 LPEBL) a été en l'occurrence respecté par le bailleur. Selon l'art. 33 CPC, applicable par renvoi de l'art. 4 LPEBL, les actes doivent parvenir à l'office compétent pour les recevoir ou avoir été remis à son adresse à un bureau de poste suisse le dernier jour du délai au plus tard. Au cas où ce délai n'est pas respecté, l'ordonnance d'expulsion devient caduque de plein droit, sans que le juge n'ait à rendre de décision pour le constater (cf. Guignard, Procédures spéciales vaudoises, Lausanne 2008, n. 6 ad art. 21 LPEBL, p. 204). Le dernier jour de validité de l'ordonnance d'expulsion était, in casu, le mercredi 11 mars 2009. La requête d'exécution forcée devait donc parvenir au Juge de paix ce jour-là ou être postée le 11 mars 2009 au plus tard. Seul un exemplaire de la requête, datée du 11 mars 2009, a été transmis par fax et est parvenu le dernier jour du délai à l'office, l'exemplaire signé ayant quant à lui été posté tardivement. Le Juge de paix a apparemment considéré que la requête lui était parvenue en temps utile, puisqu'il a rendu la décision entreprise le lendemain, soit le 12 mars 2009, en se référant expressément à la requête du 11 mars 2009. Selon la jurisprudence de la cour de céans (Ch. rec., 16 février 2006/130; Ch. rec., 15 mars 2004/125), un acte de recours envoyé par fax et donc dépourvu de signature originale n'est pas valable, une telle irrégularité pouvant cependant être corrigée en application de l'article 17 CPC (art. 30 al. 2 de la loi fédérale d'organisation judiciaire du 16 décembre 1943; OJF; [RS 173.110]; ATF 121 II 252 c. 3, JT 1997 I 188; ATF 112 Ia 173, c. 1; SJ 2001 p. 289; Poudret, Commentaire de la loi fédérale d'organisation judiciaire, 1990, vol I, n.</w:t>
      </w:r>
    </w:p>
    <w:p>
      <w:r>
        <w:rPr>
          <w:b/>
        </w:rPr>
        <w:t>E. 1.3</w:t>
      </w:r>
    </w:p>
    <w:p>
      <w:r>
        <w:t>ad art. 30 OJF, p. 180). En l'espèce, passé le dernier jour de validité de l'ordonnance d'expulsion et à défaut de requête d'exécution forcée régulière, l'ordonnance devenait caduque. Dans un tel cas, il eût appartenu au premier juge d'interpeller le mandataire du requérant afin qu'il se détermine sur la tardiveté de son envoi postal. Au lieu de cela, le Juge de paix a rendu la décision entreprise sur la base de ladite requête - à laquelle il se référait expressément - sans attendre de recevoir par courrier la requête comportant la signature manuscrite originale du requérant ou de son mandataire. De manière générale, lorsque le juge n'a pas fait usage de l'art. 17 CPC avant la transmission de l'acte, une fois celui-ci notifié c'est à la seule partie adverse qu'il appartient de se prévaloir de l'informalité en soulevant une exception de procédure (cf. Poudret/Haldy/Tappy, Procédure civile vaudoise,</w:t>
      </w:r>
    </w:p>
    <w:p>
      <w:r>
        <w:rPr>
          <w:b/>
        </w:rPr>
        <w:t>E. 3</w:t>
      </w:r>
    </w:p>
    <w:p>
      <w:r>
        <w:t>Sur le fond, le recourant se contente de soutenir qu'il ne comprend pas l'acharnement de l'intimé à son égard  « le loyer étant réglé à ce jour ». Ce moyen est sans fondement. Au bénéfice d'une ordonnance d'expulsion exécutoire, le bailleur est légitimé à requérir du juge l'expulsion forcée (art. 20 al. 2 LPEBL). Cette condition est ici remplie. Au demeurant, le juge requis n'a pas à examiner si l'exécution forcée ne serait plus possible en raison d'une modification des circonstances depuis que l'ordonnance d'expulsion a été rendue (cf. Guignard, op. cit., n. 2 ad art. 21 LPEBL, p. 202). Le recourant n'invoque pas un abus de droit du bailleur à requérir son expulsion forcée notamment parce que les parties auraient passé un accord mettant fin à la procédure ou auraient conclu un nouveau bail (cf. Guignard, ibidem). Pour le surplus, l'avis entrepris comporte les mentions prescrites par la loi et le délai fixé pour les opérations d'exécution forcée apparaît raisonnable au regard de la jurisprudence (cf. Guignard, op. cit., n. 3 ad art. 21 LPEBL, p. 203). Dès lors, le recours doit être rejeté et l'avis d'exécution forcée confirmé.</w:t>
      </w:r>
    </w:p>
    <w:p>
      <w:r>
        <w:rPr>
          <w:b/>
        </w:rPr>
        <w:t>E. 4</w:t>
      </w:r>
    </w:p>
    <w:p>
      <w:r>
        <w:t>En définitive, le recours doit être rejeté et la décision confirmée. Les frais de deuxième instance du recourant sont arrêtés à 300 fr. (art. 230 TFJC). Le recourant doit verser à l'intimé la somme de 300 fr. à titre de dépens de deuxième instance. Par ces motifs, la Chambre des recours du Tribunal cantonal, statuant à huis clos, prononce : I. Le recours est rejeté. II. La décision est confirmée. III. Les frais de deuxième instance du recourant sont arrêtés à 300 fr. (trois cents francs). IV. Le recourant C doit verser à l'intimé S la somme de 300 fr. (trois cents francs) à titre de dépens de deuxième instance. V. L'arrêt motivé est exécutoire. L e président : L e greffi er : Du 27 mai 2009 Le dispositif de l'arrêt qui précède est communiqué par écrit aux intéressés. L e greffi er : Du L'arrêt qui précède, dont la rédaction a été approuvée à huis clos, est notifié en expédition complète, par l'envoi de photocopies, à : ‑      M. C, ‑      M. Alexandre Landry, aab (pour S).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