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116 vom 21. Juli 2009</w:t>
      </w:r>
    </w:p>
    <w:p>
      <w:r>
        <w:t>VD Tribunal cantonal, 2009-07-21, FR</w:t>
      </w:r>
    </w:p>
    <w:p>
      <w:r>
        <w:rPr>
          <w:b/>
        </w:rPr>
        <w:t xml:space="preserve">Quelle: </w:t>
      </w:r>
      <w:r>
        <w:t>https://mcp.opencaselaw.ch/entscheid/vd_findinfo_HC___2009___116</w:t>
      </w:r>
    </w:p>
    <w:p>
      <w:r>
        <w:t>FR: VD_FINDINFO HC / 2009 / 116 du 21 juillet 2009</w:t>
      </w:r>
    </w:p>
    <w:p>
      <w:r>
        <w:t>IT: VD_FINDINFO HC / 2009 / 116 del 21 luglio 2009</w:t>
      </w:r>
    </w:p>
    <w:p>
      <w:pPr>
        <w:pStyle w:val="Heading2"/>
      </w:pPr>
      <w:r>
        <w:t>Regeste</w:t>
      </w:r>
    </w:p>
    <w:p>
      <w:r>
        <w:t>EXPULSION DE LOCATAIRE, EXÉCUTION FORCÉE, CHOSE JUGÉE, LOI CANTONALE RELATIVE À LA PROCÉDURE EN MATIÈRE DE BAIL | 20 LPEBL, 21 al. 1 LPEBL, 21 al. 2 LPEBL</w:t>
      </w:r>
    </w:p>
    <w:p>
      <w:pPr>
        <w:pStyle w:val="Heading2"/>
      </w:pPr>
      <w:r>
        <w:t>Erwägungen</w:t>
      </w:r>
    </w:p>
    <w:p>
      <w:r>
        <w:rPr>
          <w:b/>
        </w:rPr>
        <w:t>E. 1</w:t>
      </w:r>
    </w:p>
    <w:p>
      <w:r>
        <w:t>a) Le recours non contentieux des art. 489 ss CPC est ouvert contre l'avis d'exécution forcée rendu en application de l'art. 21 al. 1 LPEBL (JT 2001 III 13 c.1a). b) Le recours a été déposé dans les dix jours dès la réception, le 5 mai 2009, de la décision attaquée, soit en temps utile (art. 492 al.</w:t>
      </w:r>
    </w:p>
    <w:p>
      <w:r>
        <w:rPr>
          <w:b/>
        </w:rPr>
        <w:t>E. 2</w:t>
      </w:r>
    </w:p>
    <w:p>
      <w:r>
        <w:t>CPC) par les locataires expulsés. Bien que la date prévue pour l'expulsion forcée soit passée, le recours a encore un intérêt: l'expulsion ayant été évitée par l'effet suspensif, et non du fait de l'inaction du bailleur, les locataires doivent savoir si, mis à part la question de la date, le principe de l'exécution forcée est fondé (Ch. rec., 13 juin 2008, n o 265/I). c) Saisie d'un recours non contentieux, la Chambre des recours revoit librement la cause en fait et en droit (Poudret/Haldy/Tappy, Procédure civile vaudoise,</w:t>
      </w:r>
    </w:p>
    <w:p>
      <w:r>
        <w:rPr>
          <w:b/>
        </w:rPr>
        <w:t>E. 3</w:t>
      </w:r>
    </w:p>
    <w:p>
      <w:r>
        <w:t>En conclusion, le recours doit être rejeté et l'avis d'exécution forcée confirmé. La cause est renvoyée au Juge de paix du district de Nyon pour qu'il fixe à nouveau la date de l'exécution forcée, une fois les considérants écrits du présent arrêt adressés pour notification aux parties. Les frais de deuxième instance des recourants sont arrêtés à 427 fr. (art. 230 al. 2 et 232 al. 1 TFJC [ tarif du 4 décembre 1984 des frais judiciaires en matière civile; RSV 270.11.5]). Obtenant gain de cause, l'intimé a droit à des dépens de deuxième instance, fixés à 200 francs. Par ces motifs, la Chambre des recours du Tribunal cantonal, statuant à huis clos, prononce : I. Le recours est rejeté. II. L'avis d'exécution forcée est confirmé. III. La cause est renvoyée au Juge de paix du district de Nyon pour qu'il fixe à nouveau la date de l'exécution forcée, une fois les considérants écrits du présent arrêt adressés pour notification aux parties. IV. Les frais de deuxième instance des recourants sont arrêtés à 427 fr. (quatre cent vingt-sept francs). V. Les recourants A.X.________ et B.X.________ sont les débiteurs solidaires de l'intimé Y.________ de la somme de 200 fr. (deux cents francs) à titre de dépens de deuxième instance. VI. L'arrêt motivé est exécutoire. L e président : L a greffi ère : Du 21 juillet 2009 Le dispositif de l'arrêt qui précède est communiqué par écrit aux intéressés. L a greffi ère : Du L'arrêt qui précède, dont la rédaction a été approuvée à huis clos, est notifié à : ‑      Mme A.X.________, ‑      M. B.X.________, -      M. Pierre-Yves Zurcher (pour Y.________). La Chambre des recours considère que la valeur litigieuse est de 12'780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