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111 vom 13. Mai 2009</w:t>
      </w:r>
    </w:p>
    <w:p>
      <w:r>
        <w:t>VD Tribunal cantonal, 2009-05-13, FR</w:t>
      </w:r>
    </w:p>
    <w:p>
      <w:r>
        <w:rPr>
          <w:b/>
        </w:rPr>
        <w:t xml:space="preserve">Quelle: </w:t>
      </w:r>
      <w:r>
        <w:t>https://mcp.opencaselaw.ch/entscheid/vd_findinfo_HC___2009___111</w:t>
      </w:r>
    </w:p>
    <w:p>
      <w:r>
        <w:t>FR: VD_FINDINFO HC / 2009 / 111 du 13 mai 2009</w:t>
      </w:r>
    </w:p>
    <w:p>
      <w:r>
        <w:t>IT: VD_FINDINFO HC / 2009 / 111 del 13 maggio 2009</w:t>
      </w:r>
    </w:p>
    <w:p>
      <w:pPr>
        <w:pStyle w:val="Heading2"/>
      </w:pPr>
      <w:r>
        <w:t>Regeste</w:t>
      </w:r>
    </w:p>
    <w:p>
      <w:r>
        <w:t>DROIT AU SALAIRE, MISE À LA RETRAITE, EMPÊCHEMENT{EN GÉNÉRAL}, POUVOIR D'EXAMEN LIBRE | 324a al. 1 CO, 324b CO, 452 CPC, 465 al. 1 CPC</w:t>
      </w:r>
    </w:p>
    <w:p>
      <w:pPr>
        <w:pStyle w:val="Heading2"/>
      </w:pPr>
      <w:r>
        <w:t>Erwägungen</w:t>
      </w:r>
    </w:p>
    <w:p>
      <w:r>
        <w:rPr>
          <w:b/>
        </w:rPr>
        <w:t>E. 18</w:t>
      </w:r>
    </w:p>
    <w:p>
      <w:r>
        <w:t>Dans un dernier échange épistolaire, la défenderesse a pris position sur les critiques du demandeur parvenues 1 mois plus tôt. La défenderesse a constaté avec regrets qu'elle ne pouvait ajourner la date de la mise en préretraite du demandeur. Elle a rappelé que la date du 1 er octobre 2007 pour le début de la retraite anticipée avait été un choix délibéré du demandeur lui-même. La défenderesse lui a en outre rappelé qu'elle lui avait payé, à bien plaire, deux mois de salaire supplémentaires et que la retraite n'avait donc pris effet qu'au 1 er décembre 2007.</w:t>
      </w:r>
    </w:p>
    <w:p>
      <w:r>
        <w:rPr>
          <w:b/>
        </w:rPr>
        <w:t>E. 19</w:t>
      </w:r>
    </w:p>
    <w:p>
      <w:r>
        <w:t>Par requête du 30 mai 2008, le demandeur a ouvert action devant le Tribunal de Prud'hommes de l'arrondissement de Lausanne, concluant au paiement par la défenderesse du montant de Fr. 20'510.-.</w:t>
      </w:r>
    </w:p>
    <w:p>
      <w:r>
        <w:rPr>
          <w:b/>
        </w:rPr>
        <w:t>E. 20</w:t>
      </w:r>
    </w:p>
    <w:p>
      <w:r>
        <w:t>La défenderesse a conclu au rejet de la requête.</w:t>
      </w:r>
    </w:p>
    <w:p>
      <w:r>
        <w:rPr>
          <w:b/>
        </w:rPr>
        <w:t>E. 21</w:t>
      </w:r>
    </w:p>
    <w:p>
      <w:r>
        <w:t>Une audience de jugement a été tenue le 25 septembre 2008." En droit, les premiers juges ont considéré que la protection accordée par l'art. 336c al. 1 let. b CO ( Code des obligations du 30 mars 1911, RS 220) en cas de résiliation du contrat de travail par l'employeur durant une incapacité de travail résultant d'une maladie ou d'un accident du travailleur ne trouvait pas application dans le cas d'espèce où le travailleur avait donné son congé en demandant sa mise en préretraite pour le mois d'octobre 2007, de sorte que le contrat de travail avait pris fin le 30 septembre 2007, malgré l'incapacité de travail présentée par lui à cette date. Ils ont ensuite retenu que le demandeur ne pouvait pas réclamer des indemnités journalières de l'assurance-accidents, au motif qu'il n'avait pas subi de perte de gain du fait de son incapacité de travailler qui s'est poursuivie au-delà de la fin des relations de travail, puisqu'il était au bénéfice d'une retraite anticipée. Les premiers juges ont ainsi rejeté la requête du demandeur tendant au paiement de 20'510 fr., correspondant à la différence entre la retraite qu'il a perçue dès décembre 2007 et le salaire qu'il aurait touché si la préretraite avait pris effet à la fin de son incapacité de travail. B. C.________ a recouru contre le jugement précité par lettre du 31 mars 2009. Dans le délai qui lui a été imparti en application de l'article 17 CPC (Code de procédure civile du 14 décembre 1966, RSV 270.11), le recourant a complété son recours par courrier du 20 avril 2009, en concluant au paiement d'une somme de 21'751 fr., à la fixation d'une rente de retraité d'un montant mensuel de 4'112 fr. en sa faveur à compter du 1 er juin 2008 et au paiement d'un montant de 210 fr. par mois "dès le 1 er juin 2008 à ce jour". En droit : 1. Le litige qui divise les parties relève du contrat de travail. Il est régi par l'art. 343 CO et la LJT (loi du 17 mai 1999 sur la juridiction du travail, RSV 173.61). II relève de la compétence du tribunal de prud'hommes, la valeur litigieuse n'excédant pas 30'000 fr. (art. 2 al. 1 let. a LJT). L'art. 46 LJT ouvre la voie du recours en nullité et en réforme contre les jugements rendus par un tribunal de prud'hommes, selon les art. 444, 445 et 451 CPC. 2. Le recourant a pris des conclusions formelles en paiement d'une somme d'argent, soit des conclusions tendant à la réforme du jugement. Dans son recours, il requiert par ailleurs "l'annulation du jugement en raison d'une irrégularité de la procédure suivie" et fait valoir que le jugement ne tient pas compte de certaines pièces qu'il a produites. Vu le large pouvoir d'examen en fait conféré par l'art. 452 CPC à la Chambre des recours dans le cadre du recours en réforme (cf. ch. 3a infra), ce grief pourra être examiné dans le cadre de l'examen en réforme et est donc irrecevable en nullité (Poudret/Haldy/Tappy, Procédure civile vaudoise, 3 ème éd., 2002, n. 14 ad art. 444 CPC, pp. 655-656). 3. 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II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 b) Selon l'art. 452 al. 1 CPC, les parties ne peuvent prendre des conclusions nouvelles ou plus amples. En l'espèce, le recourant avait conclu en première instance au paiement par son employeur d'un montant de 20'510 francs. Ses conclusions en deuxième instance sont par conséquent irrecevables en tant qu'elles dépassent ce montant. 4. Le recourant prétend avoir droit à la différence entre le salaire qu'il percevait en dernier lieu au service de l'intimée et la rente de préretraite qu'il a reçue à compter du 1 er décembre 2007, cela pour la période de son incapacité de travail qui est apparemment venue à échéance à fin mai 2008 (cf. sa lettre du 31 mars 2009). Il invoque le fait qu'il a été victime d'un accident non pas durant une période d'assurance prolongée couvrant un assuré à la retraite anticipée au sens de l'art. 3 al. 2 LAA (loi fédérale du 20 mars 1981 sur l'assurance-accidents, RS 832.20), comme l'auraient retenu les premiers juges, mais alors que les relations de travail étaient encore en cours. Selon l'art. 324a al. 1 CO, si le travailleur est empêché de travailler sans faute de sa part pour des causes inhérentes à sa personne, l'employeur lui verse le salaire pour un temps limité. Cette obligation s'éteint cependant avec le contrat, sauf accord exprès contraire, même si le crédit lié à l'incapacité n'est pas épuisé (TF 4C.315/2006 du 10 janvier 2007, c. 3.1; Brühwiler, Kommentar zum Einzelarbeitsvertrag, 2 ème éd., Berne 1996, n. 10 ad art. 324a CO, pp. 154-155; Wyler, Droit du travail, 2 ème éd., 2008, p. 231). Lorsque le travailleur est assuré obligatoirement, en vertu d'une disposition légale, contre les conséquences économiques d'un empêchement de travailler, l'employeur est libéré de son obligation de payer le salaire lorsque les prestations d'assurance dues pour le temps limité couvrent les quatre cinquièmes au moins du salaire (art. 324b CO). En l'espèce, le recourant était assuré obligatoirement contre les accidents en vertu de l'art. 1a LAA. Il avait droit, en vertu des art. 16 et 17 LAA, à une indemnité journalière correspondant à 80 % de son dernier salaire. L'employeur était dès lors libéré de toute obligation pour la période correspondante. Comme le temps limité de l'art. 324b al. 1 CO est le même que celui qui est mentionné à l'art. 324a al. 1 CO (Gnaegi, Le droit du travailleur au salaire en cas de maladie, in Le droit du travail en pratique, vol. 13, 1996, p. 192), le recourant ne peut pas tirer davantage de droits du fait qu'il était assuré obligatoirement et sa prétention à la couverture d'un salaire à l'égard de l'employeur a pris fin avec le contrat de travail. Il n'y a pas lieu d'entrer en matière sur la question de savoir durant combien de temps les prestations de l'assurance étaient dues au recourant, dès lors que cette problématique ne concerne pas le présent litige, l'action du recourant étant dirigée contre l'employeur. Au vu de ce qui précède, la prétention du recourant à un salaire au-delà de la fin du contrat doit être rejetée, cela d'autant plus que l'employeur lui a versé spontanément des montants correspondant à son salaire pour les mois postérieurs d'octobre et novembre 2007. 5. En définitive, le recours doit être rejeté dans la mesure où il est recevable, en application de l'art. 465 al. 1 CPC, et le jugement attaqué confirmé. S'agissant d'un conflit de travail dont la valeur litigieuse ne dépasse pas 30'000 fr., le présent arrêt doit être rendu sans frais (art. 343 al. 2 et 3 CO; 235 du tarif du 4 décembre 1984 des frais judiciaires en matière civile, TFJC, RSV 270.11.5). Par ces motifs, la Chambre des recours du Tribunal cantonal, statuant à huis clos, en application de l'art. 465 al. 1 CPC, prononce : I. Le recours est rejeté en tant que recevable. II. Le jugement est confirmé. III. L'arrêt est rendu sans frais. IV. L'arrêt motivé est exécutoire. L e président : L a greffi ère : Du 13 mai 2009 Le dispositif de l'arrêt qui précède est communiqué par écrit aux intéressés. L a greffi ère : Du L'arrêt qui précède, dont la rédaction a été approuvée à huis clos, est notifié en expédition complète, par l'envoi de photocopies, à : ‑      M. C.________, ‑ H.________.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