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102 vom 20. Juli 2009</w:t>
      </w:r>
    </w:p>
    <w:p>
      <w:r>
        <w:t>VD Tribunal cantonal, 2009-07-20, FR</w:t>
      </w:r>
    </w:p>
    <w:p>
      <w:r>
        <w:rPr>
          <w:b/>
        </w:rPr>
        <w:t xml:space="preserve">Quelle: </w:t>
      </w:r>
      <w:r>
        <w:t>https://mcp.opencaselaw.ch/entscheid/vd_findinfo_HC___2009___102</w:t>
      </w:r>
    </w:p>
    <w:p>
      <w:r>
        <w:t>FR: VD_FINDINFO HC / 2009 / 102 du 20 juillet 2009</w:t>
      </w:r>
    </w:p>
    <w:p>
      <w:r>
        <w:t>IT: VD_FINDINFO HC / 2009 / 102 del 20 luglio 2009</w:t>
      </w:r>
    </w:p>
    <w:p>
      <w:pPr>
        <w:pStyle w:val="Heading2"/>
      </w:pPr>
      <w:r>
        <w:t>Regeste</w:t>
      </w:r>
    </w:p>
    <w:p>
      <w:r>
        <w:t>TRANSACTION{ACCORD}, RADIATION DU RÔLE | 158 CPC</w:t>
      </w:r>
    </w:p>
    <w:p>
      <w:pPr>
        <w:pStyle w:val="Heading2"/>
      </w:pPr>
      <w:r>
        <w:t>Volltext</w:t>
      </w:r>
    </w:p>
    <w:p>
      <w:r>
        <w:t>Vaud Tribunal cantonal Chambre des recours civile 20.07.2009 HC / 2009 / 102</w:t>
      </w:r>
    </w:p>
    <w:p>
      <w:r>
        <w:t>TRANSACTION{ACCORD}, RADIATION DU RÔLE | 158 CPC</w:t>
      </w:r>
    </w:p>
    <w:p>
      <w:r>
        <w:t>TRIBUNAL CANTONAL 138/II CHAMBRE DES RECOURS ________________________________ Arrêt du 20 juillet 2009 __________________ Présidence de   M. Denys , président Juges : MM.     Giroud et Sauterel Greffière : Mme   Lopez ***** Art. 158 CPC Vu la succession de feu F.N.________, décédé à Genève le 2 octobre 2008, qui comprend en particulier un immeuble sis à [...] valant plusieurs millions, vu la déclaration de répudiation de la succession formulée par les deux fils du défunt, E.N.________ et D.N.________, vu la répudiation de la succession formée par D.N.________ également au nom de ses enfants, B.N.________ et A.N.________, vu le certificat d'héritier du 2 décembre 2008, par lequel le Juge de paix du district de Nyon a certifié que feu F.N.________ a laissé comme seule héritière instituée son épouse C.N.________, vu le recours contre la délivrance de ce certificat d'héritier interjeté le 9 décembre 2008 par X.________, qui considère que la répudiation faite par son époux  D.N.________ au nom de leurs enfants B.N.________ et A.N.________, sur lesquels elle détient l'autorité parentale conjointe, n'est pas valable, vu la requête de mesures provisionnelles et préprovisionnelles déposée le 8 janvier 2009 par  A.N.________ et B.N.________, représentés par leur mère, vu l'ordonnance de mesures préprovisionnelles du Président de la Chambre des recours du 9 janvier 2009, complétée le 5 juin 2009, vu la convention signée les 16 et 23 juin 2009 par X.________, D.N.________, E.N.________ et C.N.________, vu le courrier du 14 juillet 2009 par lequel le conseil de la recourante a transmis à la cour de céans un exemplaire de dite convention et requis qu'il en soit pris acte pour valoir jugement définitif et exécutoire, vu les autres pièces du dossier; attendu que selon l'art. 158 al. 1 CPC (Code de procédure civile du 14 décembre 1966, RSV 270.11), si les parties mettent fin au procès par une transaction, elles remettent celle-ci au juge, qui l'annexe au procès-verbal pour valoir jugement et raie la cause du rôle, que le 14 juillet 2009, le conseil de la recourante a transmis à la Chambre des recours une convention signée par les parties les 16 et 23 juin 2009, destinée à mettre fin au litige qui divise celles-ci, qu'il y a lieu de prendre acte de cette convention pour valoir jugement et de rayer la cause du rôle; attendu que les frais de deuxième instance sont arrêtés à 500 fr. (art. 222 TFJC, tarif du 4 décembre 1984 des frais judiciaires en matière civile, RSV 270.11.5). Par ces motifs, la Chambre des recours du Tribunal cantonal, statuant à huis clos : I. Prend acte pour valoir jugement de la convention signée les 16 et 23 juin 2009 par X.________, D.N.________, E.N.________ et C.N.________, dont la teneur est la suivante : " Article I Parties constatent conjointement la nullité des répudiations signées par D.N.________ tant pour lui-même que pour A.N.________ et B.N.________, ainsi que par E.N.________ tant pour lui-même que pour C.Z.________, A.Z.________ et B.Z.________. En conséquence, D.N.________ et E.N.________ sont déclarés héritiers de F.N.________ comme s'ils n'avaient pas répudié, A.N.________ et B.N.________, d'une part, et C.Z.________, A.Z.________, et B.Z.________, d'autre part, n'étant pas directement héritiers de F.N.________. Pour le surplus, toute autre vocation successorale des parties demeure réservée. Article II D.N.________ s'engage à donner à A.N.________ la somme nette de Frs. 400'000.- et à B.N.________ la somme nette de Frs. 400'000.-, au jour de l'encaissement du prix de vente de la villa de [...], mais au plus tard le 30 juin 2011. Les autres parties à la présentes convention ne sont pas solidairement responsables de cet engagement, lequel est pris par D.N.________ à titre personnel. Article III Les sommes convenue à l'article II ci-dessus seront versées sur deux comptes séparés à ouvrir aux noms de A.N.________ et B.N.________. Les sommes versées sur ces comptes serviront à financer, d'entente entre D.N.________ et X.________, les études (frais d'écolage privé, séjours linguistiques, etc.) de A.N.________ et B.N.________ ainsi que, cas échéant, certains loisirs et frais importants les concernant. Jusqu'à ce que A.N.________ et B.N.________ aient atteint chacun l'âge de 25 ans, la gestion du compte ouvert pour chacun d'eux sera exercée conjointement par X.________ et D.N.________, dont la double signature devra être nécessaire à l'exercice de la gestion. L'éventuel solde de chacun des comptes sera acquis à chacun des enfants en faveur de qui il aura été constitué au moment où l'enfant concerné atteindra l'âge de 25 ans. Article IV En garantie de l'engagement pris sous chiffre II ci-dessus, une cédule hypothécaire au porteur d'une valeur de Frs. 800'000.- (huit cent mille francs) a été constituée sur l'immeuble 329 plan 9 d'une surface de 16'301 m2 de la commune de [...]. La cédule est déposée chez le notaire G.________ à Lausanne. Elle est détenue au nom et pour le compte de A.N.________ et B.N.________ à titre de garantie conformément à la présente disposition et cela dès signature de la présente convention, charge pour le notaire prénommé, alternativement : -    de la remettre à l'acquéreur de la villa de [...] susmentionnée, à son défaut à C.N.________ ou son nommable dès paiement complet de la dette contractée selon chiffre II ci-dessus; -    de la remettre le 1er juillet 2011 si la dette devait n'avoir pas été éteinte à cette date à X.________ et D.N.________ pour le compte de A.N.________ et de B.N.________ ou, à défaut d'entente entre les deux, à la personne désignée pour représenter les intérêts de A.N.________ et de B.N.________. Un exemplaire original de la présente convention est remise à Me G.________. Article V A signature de la présente, A.N.________ et B.N.________ requièrent du Président de la Chambre de céans qu'il ordonne la radiation de l'inscription provisoire imposée dans l'ordonnance de mesures préprovisionnelles du 9 janvier 2009 ainsi que la levée de l'interdiction personnelle faite à C.N.________ découlant de dite ordonnance. Article VI Chaque partie garde ses frais et renonce à l'allocation de dépens. Article VII La présente convention sera soumise à la Chambre des recours pour qu'elle en prenne acte pour valoir jugement définitif et exécutoire dans la cause divisant A.N.________ et B.N.________ d'avec C.N.________, D.N.________ et E.N.________." II. Arrête les frais de deuxième instance à 500 fr. (cinq cents francs). III. Raye la cause du rôle. IV. Déclare le présent arrêt exécutoire. L e président : L a greffi ère : Du L'arrêt qui précède, dont la rédaction a été approuvée à huis clos, est notifié à : ‑      Me Olivier Subilia (pour X.________), ‑      Me Christian Bettex (pour C.N.________, D.N.________ et E.N.________).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