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 vom 31. Dezember 2024</w:t>
      </w:r>
    </w:p>
    <w:p>
      <w:r>
        <w:t>VD Tribunal cantonal, 2024-12-31, FR</w:t>
      </w:r>
    </w:p>
    <w:p>
      <w:r>
        <w:rPr>
          <w:b/>
        </w:rPr>
        <w:t xml:space="preserve">Quelle: </w:t>
      </w:r>
      <w:r>
        <w:t>https://mcp.opencaselaw.ch/entscheid/vd_findinfo_Faillite___2025___3</w:t>
      </w:r>
    </w:p>
    <w:p>
      <w:r>
        <w:t>FR: VD_FINDINFO Faillite / 2025 / 3 du 31 décembre 2024</w:t>
      </w:r>
    </w:p>
    <w:p>
      <w:r>
        <w:t>IT: VD_FINDINFO Faillite / 2025 / 3 del 31 dicembre 2024</w:t>
      </w:r>
    </w:p>
    <w:p>
      <w:pPr>
        <w:pStyle w:val="Heading2"/>
      </w:pPr>
      <w:r>
        <w:t>Regeste</w:t>
      </w:r>
    </w:p>
    <w:p>
      <w:r>
        <w:t>AVANCE DE FRAIS, DÉCLARATION D'INSOLVABILITÉ, DROIT D'ÊTRE ENTENDU, MOTIVATION DE LA DÉCISION | 29 al. 2 Cst., 169 LP, 191 LP, 103 CPC (CH)</w:t>
      </w:r>
    </w:p>
    <w:p>
      <w:pPr>
        <w:pStyle w:val="Heading2"/>
      </w:pPr>
      <w:r>
        <w:t>Erwägungen</w:t>
      </w:r>
    </w:p>
    <w:p>
      <w:r>
        <w:rPr>
          <w:b/>
        </w:rPr>
        <w:t>E. 28</w:t>
      </w:r>
    </w:p>
    <w:p>
      <w:r>
        <w:t>consid. 2b/bb, JdT 1995 II 75 ; ATF 119 III 113 consid. 2 et 3, JdT 1996 II 105). Le débiteur-requérant devrait donc disposer de biens réalisables, mais pas des liquidités nécessaires au paiement de l’avance de frais de l’art. 169 LP pour bénéficier de la dispense d’avance de frais (ATF 133 III 614 consid. 5 et 6). Cette exigence supplémentaire trouve son fondement dans le fait que dans le cas de la suspension de faillite selon l’art. 230 al. 1 LP, celle-ci est close sans délivrance d'actes de défaut de biens, avec pour conséquence que les poursuites renaissent (art. 230 al. 4 LP) et sont continuées par voie de saisie. Le débiteur, qui ne pourra pas exciper de son défaut de retour à meilleure fortune selon l'art. 265 LP (ATF 133 III 614 consid. 6.1), se retrouvera ainsi dans la situation qui était la sienne avant la requête de faillite personnelle, soit sans changement.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135 I 187 consid. 2.2 ; TF 4D_76/2020 du 2 juin 2021 consid. 4.2, non publié in ATF 147 III 440).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c) En l’espèce, le recourant a requis sa mise en faillite personnelle. Vu la lettre de l’art. 169 al. 2 LP, on ne saurait exiger que cette requête comprenne une demande de dispense d’avance de frais. L’autorité précédente a fixé le montant de l’avance de frais à verser à l’Office à 5'000 fr. et l’avance des frais judiciaires à 200 fr. et a indiqué les voies de droit. Elle n’a pas exposé les raisons pour lesquelles elle faisait usage de la faculté donnée par l’art. 169 al. 2 LP ni motivé la quotité des avances de frais demandées. La décision apparait ainsi lacunaire au regard de l’obligation pour les autorités de motiver leur décision. L’autorité précédente n’a en outre pas traité la requête d’assistance judiciaire datée du 7 décembre 2024, dont elle était expressément désignée comme la destinataire et qui était jointe au recours qui lui a été adressé directement. La cour de céans n’est pas en mesure de statuer sur la question de la quotité de l’avance à verser à l’Office - le montant de l’avance des frais judiciaires résultant, lui, de l’art. 52 let. a OELP, ni sur la question de la dispense des frais de la faillite ; elle n’est par ailleurs pas compétente pour statuer sur la requête d’octroi de l’assistance judiciaire en première instance qui n’a pas été traitée par l’autorité précédente et ne fait donc pas l’objet du recours. La décision attaquée doit par conséquent être annulée et la cause renvoyée à l’autorité précédente pour instruction sur la question de la dispense d’avance de frais, respectivement de la quotité de l’avance de frais à verser à l’office des faillites, et sur la requête d’assistance judiciaire et pour nouvelle décision dans le sens des considérants. III. L’arrêt est rendu sans frais . Contrairement à ce qui a été indiqué au recourant, il n’y a pas lieu de statuer sur la requête d’assistance judiciaire dès lors qu’elle ne tend pas à l’exonération des frais judiciaires de deuxième instance et qu’au demeurant, si tel était le cas, cette requête serait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