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12 vom 23. Mai 2024</w:t>
      </w:r>
    </w:p>
    <w:p>
      <w:r>
        <w:t>VD Tribunal cantonal, 2024-05-23, FR</w:t>
      </w:r>
    </w:p>
    <w:p>
      <w:r>
        <w:rPr>
          <w:b/>
        </w:rPr>
        <w:t xml:space="preserve">Quelle: </w:t>
      </w:r>
      <w:r>
        <w:t>https://mcp.opencaselaw.ch/entscheid/vd_findinfo_Faillite___2024___12</w:t>
      </w:r>
    </w:p>
    <w:p>
      <w:r>
        <w:t>FR: VD_FINDINFO Faillite / 2024 / 12 du 23 mai 2024</w:t>
      </w:r>
    </w:p>
    <w:p>
      <w:r>
        <w:t>IT: VD_FINDINFO Faillite / 2024 / 12 del 23 maggio 2024</w:t>
      </w:r>
    </w:p>
    <w:p>
      <w:pPr>
        <w:pStyle w:val="Heading2"/>
      </w:pPr>
      <w:r>
        <w:t>Regeste</w:t>
      </w:r>
    </w:p>
    <w:p>
      <w:r>
        <w:t>DÉCLARATION D'INSOLVABILITÉ, ABUS DE DROIT, PERSONNE PHYSIQUE | 191 LP</w:t>
      </w:r>
    </w:p>
    <w:p>
      <w:pPr>
        <w:pStyle w:val="Heading2"/>
      </w:pPr>
      <w:r>
        <w:t>Erwägungen</w:t>
      </w:r>
    </w:p>
    <w:p>
      <w:r>
        <w:rPr>
          <w:b/>
        </w:rPr>
        <w:t>E. 2</w:t>
      </w:r>
    </w:p>
    <w:p>
      <w:r>
        <w:t>CC [Code civil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Le Tribunal fédéral a jugé qu’il y avait également abus de droit manifeste de la part d’un débiteur à solliciter sa mise en faillite volontaire alors qu’il sait que la masse ne disposera d’aucun actif réalisable au profit de ses créanciers (ATF 133 III 614 consid. 6.1.2).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(chances de succès), mais le Tribunal fédéral a confirmé ultérieurement que son raisonnement s’appliquait aussi à la requête de faillite volontaire elle-même (TF 5A_433/2019 précité ; TF 5A_819/2018 précité ; Gapany, op. cit. ,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 p. 9 et les arrêts cités). Il en va de même lorsque le dividende prévisible n’est pas nul mais insuffisant (Gapany, op. cit. , p. 21 et les réf. citées à la note infrapaginale 30 ; Staehelin, in Bauer/Staehelin [édit.], Basler Kommentar SchKG, Ergänzungsband, 2017, ad n. 16 ad art. 191 SchKG [LP]). b) Eu égard à la doctrine et la jurisprudence qui précèdent, la décision attaquée retient à juste titre que si la faillite du recourant était prononcée, ses créanciers se trouveraient lésés, dès lors que l’intéressé admet n’avoir rien à leur offrir. De plus, la saisie fructueuse en cours portant sur la part de son revenu dépassant le montant de son minimum vital de 5'870 fr. tomberait en cas de faillite. C’est également à juste titre que la décision attaquée retient qu’il appert que la faillite, si elle était prononcée, devrait être suspendue faute d’actif. Le fait que le recourant ait versé une avance de frais de 5'000 fr. à l’office des faillites n’y change rien. Ce n’est pas l’avance des frais de toute la procédure de liquidation qui est exigée, mais des frais jusqu'à et y compris la suspension de la liquidation faute d'actif ou jusqu'à l'appel aux créanciers (cf. art. 35 OAOF [RS 281.32]). Or, on l’a vu, le recourant admet qu’il ne dispose d’aucun actif à réaliser. Le rejet de la requête était ainsi justifié. La non-prise en compte de la charge fiscale courante dans la détermination du minimum vital résulte de la jurisprudence constante et ancienne du Tribunal fédéral relative à l’art. 93 LP (ATF 69 III 41 ; 90 III 33 ; 126 III 89, JdT 2000 II 20 ; ATF 134 III 37 ; TF 7B.221/2003 du 17 novembre 2003), en conformité de laquelle les Lignes directrices pour le calcul du minimum vital ont été établies par la Conférence des préposés aux poursuites et faillites de Suisse. Selon cette jurisprudence, l’art. 93 al. 1 in fine LP n’a pas d’autre but que de permettre au débiteur de subvenir à son entretien et à celui de sa famille, son application ne vise pas à aider le débiteur à maintenir ou à rétablir sa situation financière en limitant le nombre de ses créanciers et elle ne doit pas non plus tendre à la création de privilèges exorbitants, entendus comme la faculté d’être désintéressé sans passer par l’exécution forcée, en faveur de certains créanciers (Michel Ochsner, Le minimum vital, Séminaire de formation de la Conférence des préposés aux poursuites et faillites de Suisse, Lausanne 2012). En l’état actuel du droit, le fait que la charge fiscale du débiteur participe à la spirale ininterrompue de son endettement ne justifie pas une exception à la jurisprudence constante en la matière. Une motion déposée le 9 janvier 2024 devant le Conseil des Etats par la Commission des affaires juridiques, chargeant le Conseil fédéral de présenter un projet de révision de la LP qui permettra d’i ntégrer les impôts courants dans le calcul du minimum vital, a certes été adoptée le 13 mars dernier (https://www.parlament.ch/fr/ratsbetrieb/suche-curia-vista/geschaeft?AffairId=20243000). A ce stade, toutefois, on ne saurait se référer à une modification législative en ce sens, sinon à titre de droit désirable. III. Vu ce qui précède, le recours doit être rejeté et le jugement attaqué confirmé.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