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4 vom 25. Februar 2022</w:t>
      </w:r>
    </w:p>
    <w:p>
      <w:r>
        <w:t>VD Tribunal cantonal, 2022-02-25, FR</w:t>
      </w:r>
    </w:p>
    <w:p>
      <w:r>
        <w:rPr>
          <w:b/>
        </w:rPr>
        <w:t xml:space="preserve">Quelle: </w:t>
      </w:r>
      <w:r>
        <w:t>https://mcp.opencaselaw.ch/entscheid/vd_findinfo_Faillite___2022___4</w:t>
      </w:r>
    </w:p>
    <w:p>
      <w:r>
        <w:t>FR: VD_FINDINFO Faillite / 2022 / 4 du 25 février 2022</w:t>
      </w:r>
    </w:p>
    <w:p>
      <w:r>
        <w:t>IT: VD_FINDINFO Faillite / 2022 / 4 del 25 febbraio 2022</w:t>
      </w:r>
    </w:p>
    <w:p>
      <w:pPr>
        <w:pStyle w:val="Heading2"/>
      </w:pPr>
      <w:r>
        <w:t>Regeste</w:t>
      </w:r>
    </w:p>
    <w:p>
      <w:r>
        <w:t>FIN, PROCÉDURE DE FAILLITE, SUSPENSION DE LA FAILLITE FAUTE D'ACTIFS, NOUVEAU MOYEN DE PREUVE, RESTITUTION DU DÉLAI, PROLONGATION DU DÉLAI | 230 al. 2 LP, 33 al. 2 LP, 33 al. 4 LP, 326 CPC (CH)</w:t>
      </w:r>
    </w:p>
    <w:p>
      <w:pPr>
        <w:pStyle w:val="Heading2"/>
      </w:pPr>
      <w:r>
        <w:t>Erwägungen</w:t>
      </w:r>
    </w:p>
    <w:p>
      <w:r>
        <w:rPr>
          <w:b/>
        </w:rPr>
        <w:t>E. 2</w:t>
      </w:r>
    </w:p>
    <w:p>
      <w:r>
        <w:t>e éd., nn. 8 et 10 ad art. 230 LP ; CPF 19 décembre 2014/415). b)aa) L’art. 93 OAOF (ordonnance du 13 juillet 1911 sur l’administration des offices de faillite ; RS 281.32) impose à l’office des faillites de publier le jugement de clôture de la faillite, sauf en cas de suspension selon l’art. 230 al. 2 LP ; dans cette dernière hypothèse, la publication intervient par l’intermédiaire du registre du commerce en application des art. 158 ss ORC (ordonnance du 7 juin 1937 sur le registre du commerce ; RS 221.411). Pour le créancier en tous cas, à qui la décision de clôture n’est pas notifiée, le délai de recours de dix jours commence à courir dès la publication de la décision (CPF 19 décembre 2014/415 ; CPF 1 er novembre 2013/441) En l’espèce, le recours est motivé et a été déposé le 22 décembre 2021 soit moins de dix jours après que la décision a été rendue conformément à l’art. 321 al. 1 CPC. Il a en outre été exercé au nom de U.________. La succursale étant dépourvue de personnalité juridique et, partant, de la capacité d’être partie (ATF 120 III 11 consid. 1a), la recevabilité du recours est douteuse. La question souffre toutefois de demeurer ouverte, le recours devant de toute manière être rejeté pour les motifs qui seront exposés ci-dessous. c)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L’art. 326 al. 2 réserve la législation contraire. En l’espèce, la question de la recevabilité des pièces produites par la recourante en deuxième instance, alors qu’elle n’a pu les produire en première instance, peut également demeurer indécise, dès lors que celles-ci sont sans influence sur le sort du recours. II. La recourante fait valoir qu’elle a présenté sa créance au Président du Tribunal d’arrondissement de La Côte le 14 janvier 2021 et que celui-ci leur a indiqué que la prise en compte de cette créance dépendait d’une décision prise par ce tribunal. Elle relève que celui-ci n’a pas tenu compte de sa créance et qu’elle n’a pas eu la possibilité de faire valoir ses droits de créancière. a) Lorsqu’un prononcé de faillite est rendu, la liquidation du patrimoine du failli et la répartition de la réalisation des actifs de celui-ci intervient selon les règles générales définies par les art. 232 à 270 LP (liquidation ordinaire), qui prévoient notamment un appel aux créanciers à produire leur créance dans la faillite avec preuve à l’appui (art. 232 LP), la participation desdits créanciers aux assemblées prévues par les art. 235 et 252 LP,  un droit à une part du résultat de la liquidation et, en cas d’insuffisance de celui-ci, la délivrance d’un acte de défaut de biens après faillite (art. 265 LP). Toutefois, dans la plupart des cas, l’office estime que le produit de la réalisation des biens patrimoniaux inventoriés ne suffira pas à couvrir les frais d’une liquidation ordinaire et en avise le juge. Si celui-ci partage l’estimation de l’office, ou si le cas est simple il ordonne la liquidation sommaire de la faillite (art. 231 LP), qui en principe ne prévoit pas d’assemblée des créanciers, l’office procédant, à l’expiration du délai de production des créances à la réalisation au mieux des intérêts des créanciers des droits patrimoniaux du failli (art. 232 al. 3 ch. 2 LP). Comme en procédure ordinaire, le créancier a un droit à une part du résultat de la liquidation et, en cas d’insuffisance de celui-ci, à la délivrance d’un acte de défaut de biens après faillite (art. 265 LP). Selon l’art. 230 al. 1 LP, 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 exigées pour les frais qui ne sont pas couvert pas la masse. L’art. 230 al.</w:t>
      </w:r>
    </w:p>
    <w:p>
      <w:r>
        <w:rPr>
          <w:b/>
        </w:rPr>
        <w:t>E. 3</w:t>
      </w:r>
    </w:p>
    <w:p>
      <w:r>
        <w:t>LP prévoit que durant deux ans après la suspension de la liquidation, le débiteur peut être poursuivi par la voie de la saisie et l’art. 230 al. 4 LP dispose que les poursuites engagées avant le prononcé de faillite renaissent après la suspension de celle-ci. Il n’y a donc pas, dans la suspension de la faillite pour défaut d’actifs, d’appel aux créanciers, de réalisation des biens, de distribution du produit de celle-ci ou de délivrance d’acte de défaut de biens si la créance n’est pas ou pas totalement couverte, sauf si un créancier en fait la demande et verse dans le délai imparti les sûretés demandées par l’office. Le délai de dix jours pour demander la liquidation et fournir les sûretés est prolongeable et restituable aux conditions de l’art. 33 al. 2 et 4 LP : il est ainsi possible d'accorder un délai plus long ou de prolonger le délai lorsqu'une partie à la procédure habite à l'étranger ou qu'elle est assignée par publication (al. 2); quiconque a été empêché sans sa faute d'agir dans le délai peut demander la restitution de celui-ci à l'autorité judiciaire compétente, notamment (al. 4). Lorsqu’un créancier demande une prolongation de délai, ou que l’avance de frais est versée après l’échéance du délai, l’office doit soumettre le dossier au juge de la faillite pour qu’il statue sur la prolongation ou la restitution de délai, en particulier, dans ce dernier cas, sur le caractère excusable du retard. L’office doit en principe accepter une avance effectuée même après l’expiration du délai et ne peut s’arroger le droit de la refuser pour tardiveté que lorsqu’il est certain d’avance que le juge de la faillite n’accorderait ni prolongation ni restitution (ATF 74 III 75, JT 1949 II 92). Avant de clore la faillite, le juge doit donc s’assurer que les sûretés n’ont pas été fournies à l’office en temps utile (Gilliéron, Commentaire de la loi fédérale sur la poursuite pour dettes et la faillite, n. 31 ad art. 230 LP). b) En l’espèce, la décision attaquée constate qu’aucun créancier n’a demandé l’application de la procédure en matière de faillite ni n’en a avancé les frais dans le délai imparti. La recourante n’allègue pas ni ne cherche à établir avoir requis la liquidation de la faillite dans le délai de dix jours fixé par la publication du 26 novembre 2021, ni en avoir avancé les frais estimés à 5'000 francs. Elle ne soutient d’ailleurs même pas être dispensée de verser les sûretés requises. C’est donc à juste titre que l’autorité de première instance a prononcé la clôture de la faillite de V.________ SA. III. En conclusion, le recours manifestement mal fondé, doit être rejeté dans la mesure où il est recevable et la décision confirmée.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