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2020 / 13 vom 13. März 2020</w:t>
      </w:r>
    </w:p>
    <w:p>
      <w:r>
        <w:t>VD Tribunal cantonal, 2020-03-13, FR</w:t>
      </w:r>
    </w:p>
    <w:p>
      <w:r>
        <w:rPr>
          <w:b/>
        </w:rPr>
        <w:t xml:space="preserve">Quelle: </w:t>
      </w:r>
      <w:r>
        <w:t>https://mcp.opencaselaw.ch/entscheid/vd_findinfo_Faillite___2020___13</w:t>
      </w:r>
    </w:p>
    <w:p>
      <w:r>
        <w:t>FR: VD_FINDINFO Faillite / 2020 / 13 du 13 mars 2020</w:t>
      </w:r>
    </w:p>
    <w:p>
      <w:r>
        <w:t>IT: VD_FINDINFO Faillite / 2020 / 13 del 13 marzo 2020</w:t>
      </w:r>
    </w:p>
    <w:p>
      <w:pPr>
        <w:pStyle w:val="Heading2"/>
      </w:pPr>
      <w:r>
        <w:t>Regeste</w:t>
      </w:r>
    </w:p>
    <w:p>
      <w:r>
        <w:t>AJOURNEMENT DE LA FAILLITE, ASSAINISSEMENT{EN GÉNÉRAL} | 725a CO, 820 CO, 173 LP</w:t>
      </w:r>
    </w:p>
    <w:p>
      <w:pPr>
        <w:pStyle w:val="Heading2"/>
      </w:pPr>
      <w:r>
        <w:t>Erwägungen</w:t>
      </w:r>
    </w:p>
    <w:p>
      <w:r>
        <w:rPr>
          <w:b/>
        </w:rPr>
        <w:t>E. 25</w:t>
      </w:r>
    </w:p>
    <w:p>
      <w:r>
        <w:t>mai 2000/210 consid. 3.c ; CPF 25 janvier 2012/85). bb) Le requérant doit présenter au juge un plan d'assainissement exposant les mesures propres à redresser la société - telles qu'une postposition par les créanciers de la société, la conversion de créances en actions, des cautionnements ou garanties bancaires, etc. -, et indiquer le délai dans lequel le surendettement sera éliminé (TF 5A_902/2016 loc. cit. ; TF 5P.466/1999 du 11 avril 2000 consid. 3b ; CPF 25 janvier 2012/85).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(TF 5A_902/2016 loc. cit. ; TF 5P.263/2003 du 25 août 2003 consid. 3.2 et les réf. cit. ; ATF 99 II 283 consid. 11/3 ; Tercier/Stoffel, Le droit des sociétés 1999/2000, résumés de jurisprudence, in RSDA 2000 p. 299, r86-r88 ; CPF 20 avril 2018/89). Les mesures d'assainissement peuvent notamment être d'ordre économique, financier, organisationnel ou structurel (Peter/Cavadini, op. cit.. n. 34 ad art. 725a CO). La plausibilité du redressement de la société surendettée doit être cumulativement examinée à la lumière du test du bilan (le surendettement doit être résorbé), du test du compte de pertes et profits (la société doit être à nouveau bénéficiaire au terme de son assainissement sur la base d'un budget prévisionnel) et du test du compte de flux financiers (un résultat positif doit résulter des flux financiers prévisibles) (Peter/Cavadini, op. cit., n. 30 ad - art. 725a CO). cc) Le plan d'assainissement doit être suffisamment précis et crédible. Une requête d'ajournement non accompagnée d'un plan d'assainissement adéquat doit être en principe rejetée. La doctrine relève que la pratique est parfois plus large et admet l'ajournement sur la base d'un plan d'assainissement incomplet. L'ajournement est alors octroyé non dans le but de redresser la société, mais pour lui permettre de compléter son plan de sauvetage, ce qui semble approprié, à condition que le tribunal concède l'ajournement pour une durée inversement proportionnelle à la qualité du dossier (Peter/Cavadini, op. cit., n. 28 ad art. 725a CO). La durée de l'ajournement est laissée à l'appréciation du juge. Il est admis que la durée de l'ajournement initial varie en général entre trois et six mois. On peut compenser les carences formelles ou matérielles d'un plan d'assainissement par l'octroi d'une durée d'ajournement plus courte, quitte à le renouveler après un nouvel examen (Peter/Cavadini, op. cit., n. 39 ad art. 725a CO). c) En l'espèce, le premier juge a considéré qu'il ressortait du décompte de l'AVS que le montant dû à celle-ci ne s'élevait vraisemblablement pas à 130'000 francs, mais à environ 20'000 fr., ce qui permettait de réduire l'entier des dettes de l'ordre de 110'000 fr. En outre, la société disposait de nombreuses commandes, qui devraient lui permettre de dégager un bénéfice et, finalement, ses charges n'étaient pas très élevées, dès lors qu'elle n'avait qu'un seul employé, Q.________. L'intimée n'a cependant présenté aucun état financier, admettant qu'aucune comptabilité n'avait été tenue, quand bien même Q.________ avait pu reprendre ses activités depuis octobre 2017. Les seuls éléments communiqués sont un relevé de compte bancaire Raiffeisen, présentant un avoir au crédit de 17'600 fr., ainsi qu'un document non daté, ni signé faisant état de travaux en cours adjugés, mais non encore facturés pour 239'960 fr. 65 (soit 82'785 fr. 75 pour fin 2019 et 157'174 fr. 90 pour 2020) et d'un bénéfice prévisionnel de 36% (pièce 10). En annexe de ce document, l'intimée a produit des offres pour les montants précités, dont on ignore cependant si elles ont été acceptées, si elles ont été exécutées et quelle part aurait déjà été payée, de sorte que le premier juge ne pouvait pas sans arbitraire retenir que l'intimée disposait de nombreuses commandes qui devaient lui permettre de dégager un bénéfice. A l'audience, l'intimée a encore produit des offres pour 2020 d'un montant réduit à 143'359 fr. et pour 2019 des offres et factures pour un montant de 82'785 fr. 75, les factures s'élevant à 27'345 fr. 20. Quant aux mesures prises, l'intimée s'est bornée à invoquer des mesures organisationnelles, telles l'octroi d'un mandat comptable et fiscal confié à la fiduciaire R.________SA et la nomination du curateur dans le cadre de l'ajournement, relevant qu'il n'y avait pas de mesure structurelle à prendre, dès lors que l'associé-gérant était le seul employé de la société. On doit constater que le plan d'assainissement, si tant est qu'on puisse admettre qu'il existe en l'espèce un tel plan, est totalement insuffisant pour rendre plausible un assainissement. Une mesure organisationnelle telle que l'octroi d'un mandat comptable est manifestement insuffisante à atteindre un but d'assainissement. On ignore tout de la situation financière de l'intimée, aucun état financier n'ayant été produit ni aucune comptabilité tenue quand bien même l'associé-gérant admet lui-même qu'il avait retrouvé sa pleine capacité de travail depuis octobre 2017. L'intimée s'est bornée à produire des offres, dont on ignore si elles ont été acceptées, ainsi que quelques factures, en tablant au demeurant sur un bénéfice de 36% qui n'est étayé par aucun élément, le seul fait que la société n'ait qu'un employé étant à cet égard insuffisant. On doit encore relever que la liste des poursuites en cours s'est encore alourdie puisqu'elles s'élèvent désormais à 217'786 fr. 10 (alors qu'elles étaient de 189'349 fr. 20 selon la décision attaquée). Dans ces circonstances, un assainissement n'apparaît pas plausible. IV. En définitive, le recours doit être admis, et la requête d’ajournement de faillite rejetée. La cause sera renvoyée au premier juge pour qu’il examine si les conditions d’une faillite sans poursuite préalable sont réalisées. Les frais de deuxième instance, arrêtés à 300 fr., sont mis à la charge de l’intimée, qui succombe (art. 106 al. 1 CPC). Celle-ci remboursera à la requérante son avance de frais à concurrence de ce dernier montant. Il n'est pas alloué de dépens de deuxième instance, la requérante ayant procédé sans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