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20 vom 13. Juli 2017</w:t>
      </w:r>
    </w:p>
    <w:p>
      <w:r>
        <w:t>VD Tribunal cantonal, 2017-07-13, FR</w:t>
      </w:r>
    </w:p>
    <w:p>
      <w:r>
        <w:rPr>
          <w:b/>
        </w:rPr>
        <w:t xml:space="preserve">Quelle: </w:t>
      </w:r>
      <w:r>
        <w:t>https://mcp.opencaselaw.ch/entscheid/vd_findinfo_Faillite___2017___20</w:t>
      </w:r>
    </w:p>
    <w:p>
      <w:r>
        <w:t>FR: VD_FINDINFO Faillite / 2017 / 20 du 13 juillet 2017</w:t>
      </w:r>
    </w:p>
    <w:p>
      <w:r>
        <w:t>IT: VD_FINDINFO Faillite / 2017 / 20 del 13 luglio 2017</w:t>
      </w:r>
    </w:p>
    <w:p>
      <w:pPr>
        <w:pStyle w:val="Heading2"/>
      </w:pPr>
      <w:r>
        <w:t>Regeste</w:t>
      </w:r>
    </w:p>
    <w:p>
      <w:r>
        <w:t>OUVERTURE DE LA FAILLITE, INSOLVABILITÉ, SUSPENSION DE LA PROCÉDURE | 174 al. 2 LP, 174 LP, 126 al. 1 CPC (CH), 126 CPC (CH)</w:t>
      </w:r>
    </w:p>
    <w:p>
      <w:pPr>
        <w:pStyle w:val="Heading2"/>
      </w:pPr>
      <w:r>
        <w:t>Erwägungen</w:t>
      </w:r>
    </w:p>
    <w:p>
      <w:r>
        <w:rPr>
          <w:b/>
        </w:rPr>
        <w:t>E. 2</w:t>
      </w:r>
    </w:p>
    <w:p>
      <w:r>
        <w:t>e éd., 2014, n. 1 et 12 ad art. 126 ZPO). La Cour de justice du canton de Genève a d’ailleurs suspendu la cause dans le cadre d’une faillite personnelle en raison de pourparlers transactionnels (cf. TF 5A_930/2013 du 30 janvier 2014, partie « En fait » let. A.b). Le juge peut refuser de suspendre, même si les parties sont d’accord de le faire (Weber, op. cit., n. 1 ad art. 126 ZPO). En l’espèce, G.________ SA indique qu’elle a conclu un arrangement avec la recourante et Z.________ qu’il souhaiterait le faire. Il ressort de la lettre de G.________ SA que cet arrangement a été conclu après le prononcé de faillite. Or, du fait de celle-ci, la recourante était privée du droit de disposer de ses biens ; en particulier, elle était privée du droit de passer des actes juridiques par rapport à des créances contre elle (ATF 121 III 28 ; Petre, Code annoté, n. ad art. 2014 LP, Gilliéron, Poursuite pour dettes, faillite et concordat, n° 1581  5 e éd., 2012, p. 376). L’arrangement passé entre la recourante et G.________ SA est en conséquence nul et il en irait de même de tout arrangement avec Z.________, faute d’octroi de l’effet suspensif au recours. L’intimée G.________ SA ne dispose donc pas d’un intérêt juridiquement protégé à la suspension (cf. art. 59 CPC). Quant à Z.________, il n’a pas soumis de requête formelle en ce sens, mais explique qu’il entend accepter la proposition de la recourante, qu’il ne veut toutefois pas retirer sa requête de faillite pour ne pas « perdre ses droits ». Il s’agit donc plutôt d’une demande d’avis de la cour de céans. A ce stade, son intérêt n’est que virtuel. En outre, dans l’examen de l’opportunité, il y a lieu de relever que la recourante est complètement obérée, pour plus de 10 millions de francs. On voit mal en quoi des engagements, par hypothèse passés ou renouvelés durant la suspension qui pourrait être prononcée, pourraient être respectés. En définitive, la requête de suspension ne peut qu’être rejetée.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La solvabilité au sens de l'art. 174 al. 2 LP se définit par opposition à l'insolvabilité au sens de l'art. 191 LP (Giroud, in Staehelin/Bauer/Staehelin (éd.), Basler Kommentar, SchKG I, 2e éd., 2010, n. 26 ad art. 174 LP ; TF 5P.399/1999 du 14 janvier 2000 consid.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 autrement (ATF 140 III 610 consid. 4.1, JdT 2015 II 433 ; ATF 132 III 715 consid. 3.1 et les réf. cit. ; TF 5A_413/2014 du 20 juin 2014 consid. 4.1). Ainsi, la solvabilité du débiteur doit au moins être plus probable que son insolvabilité. Il ne faut donc pas poser d'exigences trop sévères quant à la solvabilité : celle-ci est rendue vraisemblable lorsqu'elle apparaît plus vraisemblable que l'insolvabilité, en particulier lorsque la viabilité de l'entreprise ne saurait être déniée d'emblée (TF 5A_810/2015 du 17 décembre 2015 consid. 3.2.1 ; TF 5A_921/2014 du 11 mars 2015 ; TF 5A_413/2014 du 20 juin 2014 consid. 4.1 ; TF 5A_230/2011 du 12 mai 2011 consid.</w:t>
      </w:r>
    </w:p>
    <w:p>
      <w:r>
        <w:rPr>
          <w:b/>
        </w:rPr>
        <w:t>E. 3</w:t>
      </w:r>
    </w:p>
    <w:p>
      <w:r>
        <w:t>; TF 5A_529/2008 du 25 septembre 2008 consid. 3.1 ; Giroud, loc. cit. ; Cometta, in Dallèves/Foëx/Jeandin (éd.), Commentaire romand, Poursuite et faillite, n. 9 ad art. 174 LP ; Gilliéron, Commentaire de la loi fédérale sur la poursuite pour dettes et la faillite, n. 45 ad art. 174 LP). S'il ne doit pas prouver sa solvabilité de manière stricte, il incombe au débiteur d'offrir les moyens de preuve propres à rendre vraisemblable sa solvabilité (TF 5A_810/2015 du 17 décembre 2015 consid. 3.2.1 ; TF 5A_469/2012 du 22 août 2012 consid. 3.2 ; TF 5A_328/2011 du 11 août 2011 consid. 2 et les réf. cit., publié in SJ 2012 I p. 25 ;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5A_413/2014 du 20 juin 2014 consid. 4.1 ; TF 5A_469/2012 du 22 août 2012 consid. 4.1.1). Le Tribunal fédéral a rappelé que la ratio legis consiste à éviter la faillite lorsque le manque de liquidités suffisantes n'apparaît que passager et que l'entreprise du débiteur semble en mesure de survivre économiquement (TF 5A_328/2011 du 11 août 2011 consid. 2, publié in SJ 2012 I p. 25). L'appréciation de la solvabilité repose sur une impression générale fondée sur les habitudes de paiement du failli (TF 5A_413/2014 du 20 juin 2014 consid. 4.1 ; TF 5A_642/2010 du 7 décembre 2010 consid. 2.4 ; TF 5A_350/2007 du 19 septembre 2007 consid. 4.3). b) En l’espèce, la recourante n’a pas établi avoir réglé les dettes objets des réquisitions de faillite. Les intimés n’ont pas retiré leur requête de faillite, demandant pour G.________ SA la suspension de la procédure de recours, et Z.________ envisageant de le faire, tout en précisant qu’il ne s’agissait pas d’un retrait de poursuite. La recourante n’a pas davantage établi qu’elle était solvable au sens de la jurisprudence susmentionnée. Aucune des conditions à l’annulation de la faillite n’est ainsi réalisée, de sorte que le recours ne peut qu’être rejeté. IV. En conclusion, la requête de suspension doit être rejetée dans la mesure où elle est recevable, le recours, manifestement mal fondé, rejeté et le jugement confirmé. Vu le rejet du recours, les frais judiciaires de deuxième instance, arrêtés à 300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