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Faillite / 2014 / 9 vom 13. März 2014</w:t>
      </w:r>
    </w:p>
    <w:p>
      <w:r>
        <w:t>VD Tribunal cantonal, 2014-03-13, FR</w:t>
      </w:r>
    </w:p>
    <w:p>
      <w:r>
        <w:rPr>
          <w:b/>
        </w:rPr>
        <w:t xml:space="preserve">Quelle: </w:t>
      </w:r>
      <w:r>
        <w:t>https://mcp.opencaselaw.ch/entscheid/vd_findinfo_Faillite___2014___9</w:t>
      </w:r>
    </w:p>
    <w:p>
      <w:r>
        <w:t>FR: VD_FINDINFO Faillite / 2014 / 9 du 13 mars 2014</w:t>
      </w:r>
    </w:p>
    <w:p>
      <w:r>
        <w:t>IT: VD_FINDINFO Faillite / 2014 / 9 del 13 marzo 2014</w:t>
      </w:r>
    </w:p>
    <w:p>
      <w:pPr>
        <w:pStyle w:val="Heading2"/>
      </w:pPr>
      <w:r>
        <w:t>Regeste</w:t>
      </w:r>
    </w:p>
    <w:p>
      <w:r>
        <w:t>PROCÉDURE DE FAILLITE, INSOLVABILITÉ | 174 LP, 322 al. 1 CPC (CH)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mars 2014, à 16 heures 15 que les frais judiciaires de deuxième instance, arrêtés à 300 fr. et compensés avec l'avance de frais de la recourante, sont mis à la charge de celle-ci.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