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30 vom 13. November 2013</w:t>
      </w:r>
    </w:p>
    <w:p>
      <w:r>
        <w:t>VD Tribunal cantonal, 2013-11-13, FR</w:t>
      </w:r>
    </w:p>
    <w:p>
      <w:r>
        <w:rPr>
          <w:b/>
        </w:rPr>
        <w:t xml:space="preserve">Quelle: </w:t>
      </w:r>
      <w:r>
        <w:t>https://mcp.opencaselaw.ch/entscheid/vd_findinfo_Faillite___2013___30</w:t>
      </w:r>
    </w:p>
    <w:p>
      <w:r>
        <w:t>FR: VD_FINDINFO Faillite / 2013 / 30 du 13 novembre 2013</w:t>
      </w:r>
    </w:p>
    <w:p>
      <w:r>
        <w:t>IT: VD_FINDINFO Faillite / 2013 / 30 del 13 novembre 2013</w:t>
      </w:r>
    </w:p>
    <w:p>
      <w:pPr>
        <w:pStyle w:val="Heading2"/>
      </w:pPr>
      <w:r>
        <w:t>Regeste</w:t>
      </w:r>
    </w:p>
    <w:p>
      <w:r>
        <w:t>AJOURNEMENT DE LA FAILLITE, AUDIENCE DE FAILLITE, CONCORDAT DANS LA PROCÉDURE DE FAILLITE, OUVERTURE DE LA FAILLITE, DETTES PROPRES, COMPTABILITÉ | 171 LP, 173a LP, 293 al. 1 LP</w:t>
      </w:r>
    </w:p>
    <w:p>
      <w:pPr>
        <w:pStyle w:val="Heading2"/>
      </w:pPr>
      <w:r>
        <w:t>Erwägungen</w:t>
      </w:r>
    </w:p>
    <w:p>
      <w:r>
        <w:rPr>
          <w:b/>
        </w:rPr>
        <w:t>E. 1</w:t>
      </w:r>
    </w:p>
    <w:p>
      <w:r>
        <w:t>ch. 3 LP est écoulé, s'il est compétent à raison du lieu et si le poursuivi est bien sujet à la poursuite par voie de faillite (Bosshard, Le recours contre le jugement de faillite, in JT 2010 III 113 ss, p. 121). b) En l'espèce, G.________ étant sujet à la poursuite par voie de faillite (art. 39 al. 1 LP), il convient de prononcer sa faillite. IV. En définitive, le recours doit être admis et le prononcé réformé en ce sens la requête d'ajournement de faillite et rejetée et que la faillite d'G.________ est prononcée et prend effet le 13 novembre 2013 à 16 heures 15. Les frais de deuxième instance, arrêtés à 300 fr., sont mis à la charge de l'intimé qui succombe (art. 106 al. 1 CPC). Celui-ci doit verser au recourant des dépens de deuxième instance, arrêtés à 2'000 fr. (art. 3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