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63 vom 21. Oktober 2011</w:t>
      </w:r>
    </w:p>
    <w:p>
      <w:r>
        <w:t>VD Tribunal cantonal, 2011-10-21, FR</w:t>
      </w:r>
    </w:p>
    <w:p>
      <w:r>
        <w:rPr>
          <w:b/>
        </w:rPr>
        <w:t xml:space="preserve">Quelle: </w:t>
      </w:r>
      <w:r>
        <w:t>https://mcp.opencaselaw.ch/entscheid/vd_findinfo_Faillite___2011___63</w:t>
      </w:r>
    </w:p>
    <w:p>
      <w:r>
        <w:t>FR: VD_FINDINFO Faillite / 2011 / 63 du 21 octobre 2011</w:t>
      </w:r>
    </w:p>
    <w:p>
      <w:r>
        <w:t>IT: VD_FINDINFO Faillite / 2011 / 63 del 21 ottobre 2011</w:t>
      </w:r>
    </w:p>
    <w:p>
      <w:pPr>
        <w:pStyle w:val="Heading2"/>
      </w:pPr>
      <w:r>
        <w:t>Regeste</w:t>
      </w:r>
    </w:p>
    <w:p>
      <w:r>
        <w:t>PROLONGATION DU DÉLAI, RESTITUTION DU DÉLAI, EMPÊCHEMENT NON FAUTIF | 33 al. 4 LP, 144 al. 2 CPC (CH)</w:t>
      </w:r>
    </w:p>
    <w:p>
      <w:pPr>
        <w:pStyle w:val="Heading2"/>
      </w:pPr>
      <w:r>
        <w:t>Erwägungen</w:t>
      </w:r>
    </w:p>
    <w:p>
      <w:r>
        <w:rPr>
          <w:b/>
        </w:rPr>
        <w:t>E. 1</w:t>
      </w:r>
    </w:p>
    <w:p>
      <w:r>
        <w:t>Cst. . De manière générale, la sanction du non-respect d'un délai de procédure n'est pas constitutive d'un formalisme excessif, une stricte application des règles relatives aux délais étant justifiée par des motifs d'égalité de traitement et par un intérêt public lié à une bonne administration de la justice et à la sécurité du droit (TF 9C_923/2009 du 10 mai 2010 c. 4.1.1 in fine et les références citées). De même, il n'y a pas de rigueur excessive à refuser une mesure lorsque les conditions légales ne sont pas remplies. En l'occurrence, la condition d'un empêchement non fautif prévue par l'art. 33 al. 4 LP n'est ici pas réalisée. Dès lors, le refus de restitution de délai ne peut constituer un vice de forme. V. En définitive, le recours doit être rejeté et le prononcé attaqué confirmé. Les frais de deuxième instance de la recourante sont arrêtés à 900 francs. Il n'y a pas lieu d'allouer de dépens aux intimés qui ont procédé sans l'aide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