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59 vom 12. Oktober 2011</w:t>
      </w:r>
    </w:p>
    <w:p>
      <w:r>
        <w:t>VD Tribunal cantonal, 2011-10-12, FR</w:t>
      </w:r>
    </w:p>
    <w:p>
      <w:r>
        <w:rPr>
          <w:b/>
        </w:rPr>
        <w:t xml:space="preserve">Quelle: </w:t>
      </w:r>
      <w:r>
        <w:t>https://mcp.opencaselaw.ch/entscheid/vd_findinfo_Faillite___2011___59</w:t>
      </w:r>
    </w:p>
    <w:p>
      <w:r>
        <w:t>FR: VD_FINDINFO Faillite / 2011 / 59 du 12 octobre 2011</w:t>
      </w:r>
    </w:p>
    <w:p>
      <w:r>
        <w:t>IT: VD_FINDINFO Faillite / 2011 / 59 del 12 ottobre 2011</w:t>
      </w:r>
    </w:p>
    <w:p>
      <w:pPr>
        <w:pStyle w:val="Heading2"/>
      </w:pPr>
      <w:r>
        <w:t>Regeste</w:t>
      </w:r>
    </w:p>
    <w:p>
      <w:r>
        <w:t>DÉCISION D'IRRECEVABILITÉ, CAPACITÉ D'ESTER EN JUSTICE, CAPACITÉ D'ÊTRE PARTIE | 59 al. 1 CPC (CH), 59 al. 2 let. c CPC (CH)</w:t>
      </w:r>
    </w:p>
    <w:p>
      <w:pPr>
        <w:pStyle w:val="Heading2"/>
      </w:pPr>
      <w:r>
        <w:t>Volltext</w:t>
      </w:r>
    </w:p>
    <w:p>
      <w:r>
        <w:t>Vaud Tribunal cantonal Cour des poursuites et faillites 12.10.2011 Faillite / 2011 / 59</w:t>
      </w:r>
    </w:p>
    <w:p>
      <w:r>
        <w:t>DÉCISION D'IRRECEVABILITÉ, CAPACITÉ D'ESTER EN JUSTICE, CAPACITÉ D'ÊTRE PARTIE | 59 al. 1 CPC (CH), 59 al. 2 let. c CPC (CH)</w:t>
      </w:r>
    </w:p>
    <w:p>
      <w:r>
        <w:t>TRIBUNAL CANTONAL 438 Cour des poursuites et faillites ________________________________________________ Arrêt du 12 octobre 2011 __________________ Présidence de               M. Hack , président Juges :              MM. Muller et Sauterel Greffier : Mme              Nüssli ***** Art. 59 al. 1 et 2 let. c, 60 et 67 al. 3 let. a CPC Vu la lettre du 13 juillet 2011 du président du Tribunal d'arrondissement de Lausanne indiquant que, sauf avis contraire écrit et motivé adressé jusqu'au 25 juillet 2011, il constaterait que la cause introduite par L.________ , à Lausanne, a perdu tout objet et ordonnerait qu'elle soit rayée du rôle, vu la lettre adressée le 25 juillet 2011 au Tribunal d'arrondissement de Lausanne, dans laquelle L.________ déclare maintenir sa requête de faillite (déclaration d'insolvabilité), vu la décision du 26 juillet 2011 du Président du Tribunal d'arrondissement de Lausanne constatant, qu'en l'absence de toute objection dans le délai fixé, la cause n'a plus d'objet et ordonnant qu'elle soit rayée du rôle, vu le recours déposé le 28 juillet 2011 par L.________ qui conclut à l'admission de sa requête de faillite et expose s'être déterminée dans le délai fixé au 25 juillet 2011, vu le courrier du 17 août 2011 du Tuteur général indiquant, sur interpellation du président de la cour de céans,  qu'il ne ratifiait pas le recours formé par sa pupille L.________, vu les pièces du dossier; attendu que le recours a été déposé dans le délai de l'art. 321 al. 2 CPC (Code de procédure civile du 19 décembre 2008; RS 272), qu'il est écrit et motivé de sorte qu'à cet égard il est recevable (art. 321 al. 1 CPC), que toutefois, pour pouvoir entrer en matière, le tribunal doit examiner d'office si les conditions de recevabilité énumérées à l'art. 59 al. 2 CPC sont remplies (art. 60 CPC), qu'en particulier les parties doivent avoir la capacité d'être partie et d'ester en justice (art. 59 al. 2 let. c CPC), que tel n'est pas le cas de L.________ qui a été mise sous tutelle, que lorsqu'une personne incapable d'ester en justice agit, le juge impartit à son représentant légal un délai pour ratifier son acte (Bohnet, Code de procédure civile commenté, n. 13 ad art. 60 CPC et les références citées), qu' en l'espèce, le Tuteur général a refusé de ratifier le recours déposé par sa pupille, que le recours ne porte pas sur des droits strictement personnels au sens de l'art. 67 al. 3 let. a CPC, de sorte que L.________ n'a pas la faculté d'agir de manière indépendante, qu'il convient dès lors de ne pas entrer en matière sur le recours du 28 juillet 2011, qui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12 octobre 2011 L'arrêt qui précède, dont la rédaction a été approuvée à huis clos, prend date de ce jour. Il est notifié, par l'envoi de photocopies, à : ‑ M. le Tuteur général (pour L.________),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