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19 vom 14. Juni 2011</w:t>
      </w:r>
    </w:p>
    <w:p>
      <w:r>
        <w:t>VD Tribunal cantonal, 2011-06-14, FR</w:t>
      </w:r>
    </w:p>
    <w:p>
      <w:r>
        <w:rPr>
          <w:b/>
        </w:rPr>
        <w:t xml:space="preserve">Quelle: </w:t>
      </w:r>
      <w:r>
        <w:t>https://mcp.opencaselaw.ch/entscheid/vd_findinfo_Faillite___2011___19</w:t>
      </w:r>
    </w:p>
    <w:p>
      <w:r>
        <w:t>FR: VD_FINDINFO Faillite / 2011 / 19 du 14 juin 2011</w:t>
      </w:r>
    </w:p>
    <w:p>
      <w:r>
        <w:t>IT: VD_FINDINFO Faillite / 2011 / 19 del 14 giugno 2011</w:t>
      </w:r>
    </w:p>
    <w:p>
      <w:pPr>
        <w:pStyle w:val="Heading2"/>
      </w:pPr>
      <w:r>
        <w:t>Regeste</w:t>
      </w:r>
    </w:p>
    <w:p>
      <w:r>
        <w:t>PROCÉDURE DE FAILLITE, INSOLVABILITÉ | 171 LP, 174 LP</w:t>
      </w:r>
    </w:p>
    <w:p>
      <w:pPr>
        <w:pStyle w:val="Heading2"/>
      </w:pPr>
      <w:r>
        <w:t>Erwägungen</w:t>
      </w:r>
    </w:p>
    <w:p>
      <w:r>
        <w:rPr>
          <w:b/>
        </w:rPr>
        <w:t>E. 1</w:t>
      </w:r>
    </w:p>
    <w:p>
      <w:r>
        <w:t>LP, l'a été en temps utile, qu'I.________ SA conclut à ce que le prononcé de faillite soit annulé, que son recours est recevable formellement (art. 461 CPC ; art. 58 al. 1 LVLP), que la production de pièces nouvelles en deuxième instance est autorisée en matière de faillite (art. 58 al. 7 LVLP), pour faire valoir des faits nouveaux lorsqu'ils se sont produits avant le jugement de première instance, que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(art. 174 al. 2 LP), que dans cette mesure, les pièces nouvelles produites par la recourante sont recevables ; considérant qu'aux termes des art. 171 et 172 LP, le juge saisi d'une réquisition de faillite prononce celle-ci, à moins que l'autorité de surveillance n'ait annulé la commination (art. 172 ch. 1 LP), que le débiteur ne se trouve au bénéfice d'une restitution de délai ou de l'opposition tardive (art. 172 ch. 2 LP), ou encore que le débiteur ne justifie par titre que la créance a été acquittée en capital, intérêts et frais ou que le créancier ne lui ait accordé un sursis (art. 172 ch. 3 LP), qu'en l'espèce, au 30 septembre 2010, les conditions de la faillite étaient réalisées ; considérant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l'attention du créancier, ou encore que celui-ci a retiré sa réquisition de faillite, qu'en l'espèce, la recourante a justifié avoir réglé les poursuites à l'origine de la faillite, qu'elle doit ensuite rendre vraisemblable sa solvabilité, qu'un fait est rendu vraisemblable si le juge, dans son libre examen, aboutit à la conviction qu'il correspond avec une probabilité suffisante aux allégations de la partie (TF 5P.146/2004 du 14 mai 2004), que la solvabilité au sens de l'art. 174 al. 2 LP se définit par opposition à l'insolvabilité au sens de l'art. 191 LP (Giroud, Basler Kommentar, n. 26 ad art. 174 LP), que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 Cometta, Commentaire romand, n. 9 ad art. 174 LP ; TF 5A_529/2008 du 25 septembre 2008 ; TF 5P.129/2006 du 30 juin 2006 ; TF 5P.456/2005 du 17 février 2006 ; TF 5P.80/2005 du 15 avril 2005), que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que l'existence de très nombreuses poursuites pour des sommes conséquentes est un signe très sérieux d'insolvabilité (CPF, 12 mai 2005/149), qu'en outre, le débiteur ne doit en principe faire l'objet d'aucune requête de faillite pendante ou de poursuite exécutoire en cours (Gilliéron, Commentaire de la loi fédérale sur la poursuite pour dettes la faillite, n. 44 ad art. 174 LP), qu'en l'espèce, la liste des poursuites la concernant, établie par l'Office des poursuites de Lausanne-Est au 12 janvier 2011, fait état de trente-neuf poursuites pour un montant total de 345'447 fr. 10, dont cinq au stade de la commination de faillite pour un montant de 133'087 fr. 15, que la liste des poursuites produite par I.________ SA à l'appui de son recours, établie le 16 mars 2011, mentionne trente-quatre poursuites pour un montant total de 339'256 fr. 90, dont sept au stade de la commination de faillite pour un montant de 152'667 fr. 60, que parmi les créanciers, se trouvent notamment l'Administration fédérale des contributions et l'Agence communale d'assurances sociales de la Commune de Lausanne, ce qui démontre que même les obligations courantes ne sont plus réglées, qu'au 31 décembre 2010, les factures à payer par la recourante totalisaient 244'780 fr., montant auquel se sont ajoutées, en janvier et février 2011, des factures impayées pour 5'584 fr. 15, que la recourante n'apporte aucun élément probant pour rendre sa solvabilité vraisemblable, qu'en particulier, ses comptes pour l'année 2010 ne figurent pas au dossier, que dans ces conditions, le recours, manifestement mal fondé, doit être rejeté et le jugement de première instance confirmé, que compte tenu de l’effet suspensif accordé, la faillite prend effet au 14 juin 2011, à 16 heures 15 ; considérant que les frais de deuxième instance de la recourante sont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