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10 vom 20. April 2011</w:t>
      </w:r>
    </w:p>
    <w:p>
      <w:r>
        <w:t>VD Tribunal cantonal, 2011-04-20, FR</w:t>
      </w:r>
    </w:p>
    <w:p>
      <w:r>
        <w:rPr>
          <w:b/>
        </w:rPr>
        <w:t xml:space="preserve">Quelle: </w:t>
      </w:r>
      <w:r>
        <w:t>https://mcp.opencaselaw.ch/entscheid/vd_findinfo_Faillite___2011___10</w:t>
      </w:r>
    </w:p>
    <w:p>
      <w:r>
        <w:t>FR: VD_FINDINFO Faillite / 2011 / 10 du 20 avril 2011</w:t>
      </w:r>
    </w:p>
    <w:p>
      <w:r>
        <w:t>IT: VD_FINDINFO Faillite / 2011 / 10 del 20 aprile 2011</w:t>
      </w:r>
    </w:p>
    <w:p>
      <w:pPr>
        <w:pStyle w:val="Heading2"/>
      </w:pPr>
      <w:r>
        <w:t>Regeste</w:t>
      </w:r>
    </w:p>
    <w:p>
      <w:r>
        <w:t>FAILLITE SANS POURSUITE PRÉALABLE, INSOLVABILITÉ | 174 al. 2 LP, 190 al. 1 ch. 2 LP, 194 LP</w:t>
      </w:r>
    </w:p>
    <w:p>
      <w:pPr>
        <w:pStyle w:val="Heading2"/>
      </w:pPr>
      <w:r>
        <w:t>Erwägungen</w:t>
      </w:r>
    </w:p>
    <w:p>
      <w:r>
        <w:rPr>
          <w:b/>
        </w:rPr>
        <w:t>E. 30</w:t>
      </w:r>
    </w:p>
    <w:p>
      <w:r>
        <w:t>ad art. 190 LP; BlSchK 1993, p. 97), qu'en l'espèce, comme on l'a vu, la recourante a laissé s'accumuler des poursuites par 136'429 fr. 10 alors même qu'elle ne dispose d'aucune liquidité, qu'il figure parmi ces poursuites non seulement des créances de salaires, mais aussi d'assurances sociales, que c'est dès lors à juste titre que le premier juge a prononcé la faillite sans poursuite préalable, que le recours doit par conséquent être rejeté, la faillite prenant effet, compte tenu de l'effet suspensif accordé, le 20 avril 2011, à 16 heures 15; attendu que les frais de deuxième instance de la recourante sont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