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2010 / 21 vom 27. Oktober 2010</w:t>
      </w:r>
    </w:p>
    <w:p>
      <w:r>
        <w:t>VD Tribunal cantonal, 2010-10-27, FR</w:t>
      </w:r>
    </w:p>
    <w:p>
      <w:r>
        <w:rPr>
          <w:b/>
        </w:rPr>
        <w:t xml:space="preserve">Quelle: </w:t>
      </w:r>
      <w:r>
        <w:t>https://mcp.opencaselaw.ch/entscheid/vd_findinfo_Faillite___2010___21</w:t>
      </w:r>
    </w:p>
    <w:p>
      <w:r>
        <w:t>FR: VD_FINDINFO Faillite / 2010 / 21 du 27 octobre 2010</w:t>
      </w:r>
    </w:p>
    <w:p>
      <w:r>
        <w:t>IT: VD_FINDINFO Faillite / 2010 / 21 del 27 ottobre 2010</w:t>
      </w:r>
    </w:p>
    <w:p>
      <w:pPr>
        <w:pStyle w:val="Heading2"/>
      </w:pPr>
      <w:r>
        <w:t>Regeste</w:t>
      </w:r>
    </w:p>
    <w:p>
      <w:r>
        <w:t>EXERCICE DU DROIT CONTRAIRE À SA FINALITÉ | 443 CPC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avril 2006/182), que l'exigence d'un intérêt juridique est remplie lorsque la partie recourante soulève une critique susceptible de conduire, le cas échéant, à une décision plus favorable pour elle, qu'il convient donc d'examiner si cette condition est remplie dans le cas d'espèce, qu'une requête de faillite a été déposée le 13 juillet 2010 par D.________ à l'encontre du recourant, que cette requête a été formellement retirée à l'audience du 19 août 2010, que la décision attaquée prend acte de ce retrait et met les frais à la charge du requérant D.________, que le recourant qui a obtenu gain de cause ne dispose ainsi d'aucun intérêt à recourir, qu'au demeurant, le recourant qui paraît se référer dans ces écritures à différentes procédures judiciaires civiles et pénales, ne prend aucune conclusion claire, en nullité ou en réforme, en relation avec la décision attaquée, qu'il y a dès lors lieu de prononcer l'irrecevabilité du recours; attendu que le présent arrêt est rendu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