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ES82 vom 2. September 2022</w:t>
      </w:r>
    </w:p>
    <w:p>
      <w:r>
        <w:t>VD Tribunal cantonal, 2022-09-02, FR</w:t>
      </w:r>
    </w:p>
    <w:p>
      <w:r>
        <w:rPr>
          <w:b/>
        </w:rPr>
        <w:t xml:space="preserve">Quelle: </w:t>
      </w:r>
      <w:r>
        <w:t>https://mcp.opencaselaw.ch/entscheid/vd_findinfo_ES82___________</w:t>
      </w:r>
    </w:p>
    <w:p>
      <w:r>
        <w:t>FR: VD_FINDINFO ES82 du 2 septembre 2022</w:t>
      </w:r>
    </w:p>
    <w:p>
      <w:r>
        <w:t>IT: VD_FINDINFO ES82 del 2 settembre 2022</w:t>
      </w:r>
    </w:p>
    <w:p>
      <w:pPr>
        <w:pStyle w:val="Heading2"/>
      </w:pPr>
      <w:r>
        <w:t>Regeste</w:t>
      </w:r>
    </w:p>
    <w:p>
      <w:r>
        <w:t>REJET DE LA DEMANDE, MESURE PRÉPROVISIONNELLE, HYPOTHÈQUE | 265 CPC (CH)</w:t>
      </w:r>
    </w:p>
    <w:p>
      <w:pPr>
        <w:pStyle w:val="Heading2"/>
      </w:pPr>
      <w:r>
        <w:t>Erwägungen</w:t>
      </w:r>
    </w:p>
    <w:p>
      <w:r>
        <w:rPr>
          <w:b/>
        </w:rPr>
        <w:t>E. 2</w:t>
      </w:r>
    </w:p>
    <w:p>
      <w:r>
        <w:t>Par ordonnance de mesures provisionnelles du 16 août 2022, la présidente a statué sur les questions relatives à la fille des parties qui lui avaient également été soumises (I à III) et a rejeté toutes autres conclusions, soit notamment celle du requérant relative à la reprise de l’hypothèque, à l’exception de deux conclusions concernant la contribution d’entretien pour l’enfant qui seraient traitées par prononcé séparé (IV).</w:t>
      </w:r>
    </w:p>
    <w:p>
      <w:r>
        <w:rPr>
          <w:b/>
        </w:rPr>
        <w:t>E. 3.1</w:t>
      </w:r>
    </w:p>
    <w:p>
      <w:r>
        <w:t>Par acte du 29 août 2022, le requérant a interjeté appel contre cette ordonnance en concluant, sous suite de frais et dépens, notamment à ce qu’il soit autorisé à reprendre seul l'hypothèque portant sur l'immeuble sis Y.________ à J.________, à la décharge de l’intimée, la moitié de la dette au jour de l'ouverture de l'action en divorce étant néanmoins prise en compte dans la liquidation du régime matrimonial pour chaque époux. Il a également pris cette conclusion à titre de mesures superprovisionnelles. A l’appui de son écriture, le requérant a produit deux pièces nouvelles concernant le crédit hypothécaire, dont notamment un courriel du 26 août 2022 de [...], sous-directeur auprès de la Q.________. Dans ce document, celui-ci a confirmé au requérant que la décision relative à l’offre de crédit-cadre hypothécaire datait du 3 mars 2022 et que la convention de crédit-cadre était par conséquent valable jusqu’au 3 septembre 2023 [ sic ], avec signature à cette date au plus tard, soit une validité de six mois. Il a ajouté que si les documents n’étaient pas signés au 3 septembre 2022, le requérant devrait à nouveau transmettre l’intégralité des documents financiers pour un réexamen du dossier. Les taux à court terme, soit de trois mois, étaient au jour du courriel entre 1,05 % et 1,15 %.</w:t>
      </w:r>
    </w:p>
    <w:p>
      <w:r>
        <w:rPr>
          <w:b/>
        </w:rPr>
        <w:t>E. 3.2</w:t>
      </w:r>
    </w:p>
    <w:p>
      <w:r>
        <w:t>Le 2 septembre 2022, l’intimée a conclu, sous suite de frais et dépens, au rejet de la requête de mesures superprovisionnelles.</w:t>
      </w:r>
    </w:p>
    <w:p>
      <w:r>
        <w:rPr>
          <w:b/>
        </w:rPr>
        <w:t>E. 4.1</w:t>
      </w:r>
    </w:p>
    <w:p>
      <w:r>
        <w:t>A l’appui de sa requête de mesures superprovisionnelles, le requérant fait valoir que l’intimée aurait toujours souhaité se retirer des hypothèques grevant l’immeuble, de sorte que son opposition serait injustifiée. Il ajoute que sa requête serait une mesure de protection du logement conjugal au sens de l’art. 169 CC. Rien n’empêcherait par ailleurs une liquidation anticipée d’une partie du régime matrimonial dans l’intérêt des parties et sans conséquence pour la procédure au fond. La reprise de l’hypothèque par le requérant seul ne changerait rien à l’équilibre économique du régime matrimonial, en particulier si la moitié de la dette au jour de l’ouverture de l’action en divorce était prise en compte dans la liquidation du régime matrimonial pour chaque époux. Cette solution aurait l’avantage de diminuer les frais hypothécaires, de libérer l’intimée de ses obligations bancaires et de consolider l’hypothèque à des conditions avantageuses. Il y aurait en outre urgence à statuer, la reprise de l’hypothèque devant être signée avant le 3 septembre 2022 au vu de l’échéance de l’offre. Il ne serait par ailleurs pas certain que celle-ci puisse être renouvelée aux mêmes conditions favorables, ce qui causerait un dommage difficilement réparable au requérant.</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rPr>
          <w:b/>
        </w:rPr>
        <w:t>E. 4.2.2</w:t>
      </w:r>
    </w:p>
    <w:p>
      <w:r>
        <w:t>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w:t>
      </w:r>
    </w:p>
    <w:p>
      <w:r>
        <w:rPr>
          <w:b/>
        </w:rPr>
        <w:t>E. 4.2.3</w:t>
      </w:r>
    </w:p>
    <w:p>
      <w:r>
        <w:t>Conformément à l’art. 265 al. 1 CPC, en cas d’urgence particulière, notamment s’il y a risque d’entrave à leur exécution, le tribunal peut ordonner des mesures provisionnelles immédiatement, sans entendre la partie adverse.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op. cit. ,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11 novembre 2021/ES85 consid. 4.3). Il convient de se montrer particulièrement restrictif à l’égard de mesures superprovisionnelles ayant pour effet pratique d’aboutir à une situation définitive et à une exécution forcée anticipée (Bohnet, op. cit. , n. 6 ad art. 265 CPC). Dans un tel cas, les chances de succès du requérant dans la procédure au fond doivent être évaluées soigneusement et proportionnellement au préjudice encouru par le requis (ATF 138 III 378 consid. 6.5). L’examen est très attentif lorsque la mesure est pratiquement irréversible.</w:t>
      </w:r>
    </w:p>
    <w:p>
      <w:r>
        <w:rPr>
          <w:b/>
        </w:rPr>
        <w:t>E. 4.2.4</w:t>
      </w:r>
    </w:p>
    <w:p>
      <w:r>
        <w:t>Aux termes de l’art. 176 al. 1 ch. 2 CC (Code civil suisse du 10 décembre 1907 ; RS 210), à la requête d’un époux et si la suspension de la vie commune est fondée, le juge prend les mesures en ce qui concerne le logement et le mobilier de ménage. A cet égard, le juge des mesures protectrices de l’union conjugale peut, à certaines conditions, autoriser des actes entrant dans le champ d’application de l’art. 169 CC et substituer son autorisation au défaut de consentement du conjoint concerné (Barrelet, in Droit matrimonial, Fond et procédure [ci-après : Droit matrimonial], Bâle 2016, n. 50 ad art. 169 CC). L’art. 169 CC prévoit qu’un époux ne peut, sans le consentement exprès de son conjoint, ni résilier le bail, ni aliéner la maison ou l’appartement familial, ni restreindre par d’autres actes juridiques les droits dont dépend le logement de la famille (al. 1). S’il n’est pas possible de recueillir ce consentement ou s’il est refusé, sans motif légitime, l’époux intéressé peut en appeler au juge (al. 2).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115 II 361, JdT 1990 I 95 ; ATF 114 II 396, JdT 1990 I 261 ; Deschenaux/Steinauer/Baddeley, Les effets du mariage, 3 e éd., Berne 2017, nn. 187 ss pp. 126 ss). Le conjoint concerné est libre de donner ou non son consentement à un acte touchant le logement de la famille. En cas de refus, le conjoint titulaire des droits peut alors saisir le juge qui autorisera l’acte en question s’il apparaît, à l’issue d’une pesée des intérêts en présence, que ce refus ne répond pas à des intérêts légitimes. Tel sera le cas lorsque l’acte envisagé restreint les droits sur le logement de manière acceptable pour la famille, ou si les charges du logement ne sont plus supportables pour les conjoints ou lorsqu’un logement alternatif et convenable pour la famille est proposé (Barrelet, op. cit. , n. 54 ad art. 169 CC et les réf. citées). La cessation de la vie commune ne constitue pas un motif légitime au sens de l’art. 169 al. 2 CC (ATF 114 II 402 consid. 3, JdT 1990 I 267).</w:t>
      </w:r>
    </w:p>
    <w:p>
      <w:r>
        <w:rPr>
          <w:b/>
        </w:rPr>
        <w:t>E. 4.3</w:t>
      </w:r>
    </w:p>
    <w:p>
      <w:r>
        <w:t>En l’espèce, le requérant se réfère à l’art. 169 CC, soit des mesures de protection du logement familial, pour fonder ses prétentions. Cependant, il requiert la cession en sa faveur de l’entier de la dette hypothécaire relative à l’appartement sis Y.________, à J.________, soit en réalité un acte qui relève de la liquidation du régime matrimonial. Le requérant ne demande en effet pas l’obtention du consentement de l’intimée pour le renouvellement du contrat, celui étant échu depuis le 28 août 2021, donc des mesures qui auraient pour but de protéger le domicile familial, en raison par exemple d’un éventuel risque de saisie par la banque ; il entend faire modifier l’état des dettes entre époux, ce qui relève de la liquidation du régime matrimonial. Or, comme cela ressort de l’ordonnance entreprise, une expertise notariale et une expertise immobilière sont en cours. Par ailleurs, l’offre prévoit un refinancement du prêt hypothécaire, qui se monte actuellement à 750'160 francs. Le requérant prévoit d’apporter des fonds propres à hauteur de 40'160 fr., de sorte que le nouveau prêt hypothécaire serait réduit à 710'000 fr., ce qui touche également à la liquidation du régime matrimonial. Bien qu’il ressorte de la réponse de l’intimée en procédure de divorce qu’elle ne conclut pas à l’attribution en sa faveur de l’immeuble précité, les questions liées à la liquidation du régime matrimonial ne sont pas tranchées. Partant, rien ne justifie en l’occurrence de procéder à une liquidation anticipée du régime matrimonial, ne serait-ce que sur la seule question du transfert de la dette hypothécaire. L’intimée invoque en outre que les contributions d’entretien seraient également litigieuses en procédure de divorce, le requérant ayant conclu au paiement d’une contribution d’entretien en sa faveur par l’intimée en faisant valoir une importante baisse de son chiffre d’affaires depuis 2020. Comme le relève l’intimée, cette diminution de revenus paraît en contradiction avec le projet de refinancement prévu à hauteur de 40'160 fr., étant relevé au surplus qu’on ne sait rien au sujet de la provenance de ces fonds. Enfin, le requérant ne produit aucune pièce concernant le montant des intérêts qu’il paie actuellement. Il a certes produit des pièces qui concernent l’année 2020, mais aucun document pour 2022. L’intimée invoque à cet égard qu’un prêt hypothécaire à un taux fixe jusqu’au 9 septembre 2024 pourrait s’avérer désavantageux pour les parties, dès lors que des pénalités pourraient s’appliquer en cas de remboursement anticipé du prêt. Un prêt hypothécaire renouvelable tous les trois mois répondrait mieux aux besoins actuels des parties, ce d’autant plus que le taux à court terme, même entre 1,05 % et 1,15 % resterait plus bas que le taux fixe proposé de 1,84 %. Dans ces circonstances, rien ne permet en effet de considérer que le contrat que le requérant entend conclure est plus avantageux que la situation qui prévaut actuellement. Il ne démontre dès lors pas de préjudice difficilement réparable. A cet égard, le requérant indique lui-même qu’il n’est « pas certain » que l’offre puisse être renouvelée, ce qui est insuffisant.</w:t>
      </w:r>
    </w:p>
    <w:p>
      <w:r>
        <w:rPr>
          <w:b/>
        </w:rPr>
        <w:t>E. 5</w:t>
      </w:r>
    </w:p>
    <w:p>
      <w:r>
        <w:t>En définitive, la requête de mesures superprovisionnelles doit être rejetée. Il sera statué sur les frais judiciaires et les dépens dans le cadre de l’arrêt sur appel à intervenir (cf. art. 104 al. 3 CPC). Par ces motifs, la Juge unique de la Cour d’appel civile, prononce : I. La requête de mesures superprovisionnelles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Laurent Schuler (pour A.A.________), ‑ Me Maud Udry Alhanko (pour B.A.________), et communiquée, par l'envoi de photocopies, à : ‑ Madame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