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95 vom 14. Februar 2025</w:t>
      </w:r>
    </w:p>
    <w:p>
      <w:r>
        <w:t>VD Tribunal cantonal, 2025-02-14, FR</w:t>
      </w:r>
    </w:p>
    <w:p>
      <w:r>
        <w:rPr>
          <w:b/>
        </w:rPr>
        <w:t xml:space="preserve">Quelle: </w:t>
      </w:r>
      <w:r>
        <w:t>https://mcp.opencaselaw.ch/entscheid/vd_findinfo_D_cision___2025___95</w:t>
      </w:r>
    </w:p>
    <w:p>
      <w:r>
        <w:t>FR: VD_FINDINFO Décision / 2025 / 95 du 14 février 2025</w:t>
      </w:r>
    </w:p>
    <w:p>
      <w:r>
        <w:t>IT: VD_FINDINFO Décision / 2025 / 95 del 14 febbraio 2025</w:t>
      </w:r>
    </w:p>
    <w:p>
      <w:pPr>
        <w:pStyle w:val="Heading2"/>
      </w:pPr>
      <w:r>
        <w:t>Regeste</w:t>
      </w:r>
    </w:p>
    <w:p>
      <w:r>
        <w:t>DROIT PÉNAL DES MINEURS, DÉFENSE D'OFFICE, AVOCAT DE LA PREMIÈRE HEURE, MODIFICATION{EN GÉNÉRAL}, REJET DE LA DEMANDE | 134 al. 2 CPP (CH)</w:t>
      </w:r>
    </w:p>
    <w:p>
      <w:pPr>
        <w:pStyle w:val="Heading2"/>
      </w:pPr>
      <w:r>
        <w:t>Erwägungen</w:t>
      </w:r>
    </w:p>
    <w:p>
      <w:r>
        <w:rPr>
          <w:b/>
        </w:rPr>
        <w:t>E. 1.1</w:t>
      </w:r>
    </w:p>
    <w:p>
      <w:r>
        <w:t>Conformément à l’art. 39 al. 1 PPMin (Loi fédérale sur la procédure pénale applicable aux mineurs du 20 mars 2009, RS 312.1), la recevabilité et les motifs du recours sont régis par l’art. 393 CPP (Code de procédure pénale suisse du 5 octobre 2007 ; RS 312.0). Une décision du juge des mineurs, fondée sur les art. 24 et 25 PPMin est susceptible de recours (art. 393 al. 1 let. a CPP ; CREP 5 octobre 2012/688).</w:t>
      </w:r>
    </w:p>
    <w:p>
      <w:r>
        <w:rPr>
          <w:b/>
        </w:rPr>
        <w:t>E. 1.2</w:t>
      </w:r>
    </w:p>
    <w:p>
      <w:r>
        <w:t>Les art. 24 et 25 PPMin ne contiennent pas de disposition réglementant la révocation et le remplacement du défenseur d’office. Le siège de la matière se trouve à l’art. 134 al. 2 CPP, applicable par renvoi de l’art. 3 al. 1 PPMin. En l’occurrence, le recours contre une décision du Ministère public en matière de remplacement du défenseur d'office est recevable (art. 393 al. 1 let. a CPP ; CREP 14 septembre 2022//697 ; CREP</w:t>
      </w:r>
    </w:p>
    <w:p>
      <w:r>
        <w:rPr>
          <w:b/>
        </w:rPr>
        <w:t>E. 1.3</w:t>
      </w:r>
    </w:p>
    <w:p>
      <w:r>
        <w:t>La compétence pour statuer sur les recours appartient à l’autorité de recours (art. 39 al. 3 PPMin) qui est, dans le canton de Vaud, la Chambre des recours pénale du Tribunal cantonal (art. 18 al. 1 LVPPMin [loi d'introduction de la loi fédérale du 20 mars 2009 sur la procédure pénale applicable aux mineurs, BLV 312.05] ; CREP 12 décembre 2017/857 consid.1.1 et les références citées).</w:t>
      </w:r>
    </w:p>
    <w:p>
      <w:r>
        <w:rPr>
          <w:b/>
        </w:rPr>
        <w:t>E. 1.4</w:t>
      </w:r>
    </w:p>
    <w:p>
      <w:r>
        <w:t>Interjeté dans le délai légal de dix jours de l'art. 396 al. 1 CPP, par le prévenu, représenté par son conseil de choix, et satisfaisant aux prescriptions de forme de l'art. 385 al. 1 CPP, le recours est recevable. 2. 2.1 Le recourant requiert la désignation de Me Schwab en qualité de défenseur d’office en sa faveur. Il fait tout d’abord valoir que la Présidente du Tribunal des mineurs ne lui a désigné un conseil d’office que le 16 décembre 2024 alors qu’il aurait dû avoir un défenseur dès le 14 décembre 2024 déjà (soit pour les opérations effectuées par le défenseur de la première heure pendant le week-end où il était de permanence). Ensuite, il explique que si les deux procédures pénales devaient être jointes, ce qui sera vraisemblablement le cas, il s’agirait alors de ne retenir qu’un seul défenseur. A cet égard, Me Benjamin Schwab rappelle que le prévenu a signé « pour accord », un courrier indiquant en substance qu’il demandait la poursuite de l’intervention du défenseur ayant été appelé le 14 décembre 2024 lors de sa permanence comme avocat de la première heure, ainsi qu’une procuration sur laquelle figurait la mention suivante : « (…) dans le cadre de la procédure actuellement pendante auprès du Tribunal des mineurs du canton de Vaud le concernant en qualité de prévenu, cas échéant en remplacement de tout précédent conseil intervenant dans cette cause, y compris pour les faits survenus entre les 13 et 14 décembre 2024 ». 2.2 2.2.1 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 2.2.2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consid. 2.4 ; TF 1B_166/2020 du 25 juin 2020 consid. 3.1.2). 2.2.3 Aux termes de l’art. 133 al. 2 CPP, le choix du défenseur d’office tient compte des aptitudes de celui-ci et, dans la mesure du possible, des souhaits du prévenu. Ce droit de proposition (qui découle également de la Cour européenne des droits de l’homme) ne peut être invoqué qu'une fois, en principe au début de la procédure (TF 1B_44/2019 du 30 janvier 2019 consid. 2.2 ; TF 1B_103/2017 du 27 avril 2017 consid. 2.2). Le terme « choix » utilisé aux al. 1bis et 2 de la disposition vise à exclure toute désignation au hasard. L’attribution de mandats officiels selon un processus aléatoire comporte en effet le risque que le prévenu ne bénéficie pas d’une défense suffisante, parce que son défenseur pourrait ne pas disposer des connaissances nécessaires. De ce fait, l’art. 133 al. 2 CPP invite l’organe chargé du choix du défenseur à veiller à ce qu’il ait les compétences adéquates (Message du Conseil fédéral concernant la modification du code de procédure pénale du 28 août 2019, FF 2019 p. 6385). Le refus de suivre les souhaits du prévenu doit être motivé au moins sommairement par l’autorité (cf. art. 29 al. 2 Cst. et 3 al. 2 let. c CPP ; TF 1B_419/2017 du 7 février 2018 consid. 2.1). 2.2.4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(ATF 138 IV 161 précité consid. 2.5.4 et les références) et le conseiller en conséquence. Pour que le prévenu ait droit à un changement de défenseur d’office, il ne suffit dès lors pas que le défenseur actuel, lors d’un entretien entre avocat et client, ait recommandé une stratégie qui déplaît au prévenu. Pour qu’une divergence de vues sur la meilleure stratégie à suivre justifie un changement de défenseur d’office, il faut que cette divergence ait un effet dommageable sur l’engagement et sur l’efficacité du défenseur en procédure ou qu’elle entrave sérieusement la nécessaire collaboration du client et de l’avocat pour la préparation de la défense. Pour que le prévenu soit fondé à demander un changement de défenseur d’office, il ne suffit pas non plus que l’avocat refuse d’accomplir un acte de procédure réclamé par le client, si cet acte est inutile (ATF 138 IV 161 précité consid. 2.4 et la référence citée) ou s’il n’entre pas dans le mandat confié à l’avocat (TF 1B_115/2021 du 3 mai 2021 consid. 3.1 et les réf.). Il appartient au prévenu qui demande le remplacement de son défenseur d’office de rendre vraisemblable les motifs sur lesquels il fonde sa demande (CREP 5 septembre 2019/649 consid. 2.2 ; CREP 15 août 2018/618 consid. 2.2). 2.3 En l’occurrence, Me Christophe Tafelmacher est le défenseur d’office de V.________ depuis le 24 janvier 2024. Il est allé régulièrement rendre visite à son client, il a eu des contacts avec ses éducateurs, avec ses parents et avec ses amis, de sorte qu’il est déjà bien investi auprès du jeune homme et que l’existence d’un lien de confiance – bâti sur plus d’une année – est manifeste, ce qui n’est d’ailleurs pas contesté par le prévenu. Le recourant ne met en outre pas en évidence des manquements ou des actes effectués par son mandataire susceptibles de mettre en péril une défense efficace. Au vu de ces éléments, les conditions de l’art. 134 al. 2 CPP ne sont pas réalisées. Par ailleurs, s’il est effectivement d’usage que l’avocat de la première heure, appelé durant sa permanence, soit désigné d’office pour la suite de la procédure, il faut bien admettre qu’il s’agit d’un cas particulier. En effet, le prévenu, mineur, bénéficiait déjà d’une défense d’office dans le cadre d’une autre procédure pénale ouverte il y a une année pour de nombreux faits ; son interpellation ayant eu lieu durant le week-end et les nouveaux faits étant graves, il devait être assisté d’un avocat lors de son audition du samedi 14 décembre 2024 par la police et de celle du dimanche 15 décembre 2024 par la Présidente du Tribunal des mineurs. Lors de cette deuxième audition, la magistrate a ainsi expressément informé Me Benjamin Schwab que V.________ était déjà assisté d’un avocat d’office dans le cadre d’une autre procédure ouverte pour des faits graves et qu’il était vraisemblable que ce dernier assiste le prévenu pour cette affaire également. L e 16 décembre 2024 elle a donc a désigné Me Christophe Tafelmacher en qualité de défenseur d’office de V.________ pour cette nouvelle procédure et le prévenu n’a pas recouru contre cette désignation, ce qu’il aurait naturellement fait s’il souhaitait réellement changer d’avocat. Dans ces circonstances, on peut s’interroger sur la bonne compréhension par le prévenu de sa signature « pour accord » de la lettre du 14 décembre 2024 (P. 18). En outre, on ne saurait déduire du contenu de la lettre du 27 décembre 2024 (P. 22), qui indique que « Pour donner suite à un appel avec mon avocat Me Benjamin Schwab, je vous écris ces lignes pour vous demander l’autorisation de garder cet avocat en lieu et place de Me Christophe Tafelmacher. M. Schwab m’a demandé de procédé (sic) de la sorte afin de lui permettre d’avoir accès à mon dossier », une volonté clairement exprimée de l’intéressé de changer de défenseur. Il en va de même de la procuration signée le 15 décembre 2024, soit le lendemain de son interpellation. Enfin, il ne ressort ni de l’audition du 21 janvier 2025 du prévenu par la police, ni de celle du 5 février 2025 effectuée par la Présidente du Tribunal des mineurs, lors desquelles il était assisté de Me Christophe Tafelmacher, que l’intéressé aurait émis des réserves ou demandé activement la présence de Me Benjamin Schwab. Pour toutes ces raisons, la décision du Tribunal des mineurs de refus de remplacer le défenseur d’office ne prête pas le flanc à la critique et peut être confirmée. Pour le reste, il appartiendra à cette autorité d’indemniser Me Benjamin Schwab pour les opérations effectuées les 14 et 15 décembre 2024 en relation avec son intervention en qualité d’avocat de la première heure appelé durant sa permanence. 3. En définitive, le recours doit être rejeté et l’ordonnance entreprise confirmée. Au vu des déterminations circonstanciées déposées le 5 février 2025 par Me Christophe Tafelmacher, défenseur d’office de V.________, il convient de lui allouer une indemnité. Celle-ci sera fixée à 540 fr., correspondant à une activité nécessaire d’avocat de 3h00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L’indemnité s’élève ainsi à 596 fr. au total en chiffres arrondis. Aucune indemnité ne sera allouée à Me Benjamin Schwab, qui n’est pas désigné d’office et dont le client n’a pas obtenu gain de cause. Vu le sort du recours, les frais de la procédure, constitués en l’espèce de l’émolument d'arrêt, par 605 fr. (art. 20 al. 1 et 2 TFIP [Tarif des frais judiciaires et indemnités en matière pénale du 28 septembre 2010 ; BLV 312.03.1]), et des frais imputables à la défense d’office de V.________ (art. 422 al. 1 et 2 let. a CPP applicable par renvoi de l’art. 44 al. 2 PPMin), fixés à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13 janvier 2025 est confirmée. III. L'indemnité allouée à Me Christophe Tafelmacher, défenseur d'office de V.________, est fixée à 596 fr. (cinq cent nonante-six francs). IV. Les frais d’arrêt, par 605 fr. (six cent cinq francs), ainsi que l’indemnité due au défenseur d’office du recourant, par 596 fr. (cinq cent nonante-six francs), sont mis à la charge de V.________.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Christophe Tafelmacher, avocat (pour V.________), - Me Benjamin Schwab, avocat - Ministère public central, et communiqué à : ‑ Mme la Présidente du Tribunal des mineurs,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juillet 2022/497 ; CREP 6 avril 2022/242 ; CREP 18 mai 2021/447). Il doit ainsi en aller de même en matière de procédure pénale applicable aux mineurs.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