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808 vom 15. Oktober 2025</w:t>
      </w:r>
    </w:p>
    <w:p>
      <w:r>
        <w:t>VD Tribunal cantonal, 2025-10-15, FR</w:t>
      </w:r>
    </w:p>
    <w:p>
      <w:r>
        <w:rPr>
          <w:b/>
        </w:rPr>
        <w:t xml:space="preserve">Quelle: </w:t>
      </w:r>
      <w:r>
        <w:t>https://mcp.opencaselaw.ch/entscheid/vd_findinfo_D_cision___2025___808</w:t>
      </w:r>
    </w:p>
    <w:p>
      <w:r>
        <w:t>FR: VD_FINDINFO Décision / 2025 / 808 du 15 octobre 2025</w:t>
      </w:r>
    </w:p>
    <w:p>
      <w:r>
        <w:t>IT: VD_FINDINFO Décision / 2025 / 808 del 15 ottobre 2025</w:t>
      </w:r>
    </w:p>
    <w:p>
      <w:pPr>
        <w:pStyle w:val="Heading2"/>
      </w:pPr>
      <w:r>
        <w:t>Regeste</w:t>
      </w:r>
    </w:p>
    <w:p>
      <w:r>
        <w:t>DÉTENTION PROVISOIRE, RISQUE DE COLLUSION, PROPORTIONNALITÉ, MESURE DE SUBSTITUTION À LA DÉTENTION, REJET DE LA DEMANDE | 221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par le prévenu détenu qui a qualité pour recourir (art. 382 al. 1 CPP) et dans les formes prescrites (art. 385 al. 1 CPP) – sous réserve de ce qui sera exposé aux consid.</w:t>
      </w:r>
    </w:p>
    <w:p>
      <w:r>
        <w:rPr>
          <w:b/>
        </w:rPr>
        <w:t>E. 2</w:t>
      </w:r>
    </w:p>
    <w:p>
      <w:r>
        <w:t>et 4 ci-dessous –, le recours est recevable.</w:t>
      </w:r>
    </w:p>
    <w:p>
      <w:r>
        <w:rPr>
          <w:b/>
        </w:rPr>
        <w:t>E. 2.1</w:t>
      </w:r>
    </w:p>
    <w:p>
      <w:r>
        <w:t>Le recourant conteste l’existence des risques de fuite et de collusion retenus par le Tribunal des mesures de contrainte. S’agissant en particulier de ce dernier risque, il relève qu’il a déjà été entendu à quatre reprises, qu’il a fourni l’accès à son matériel informatique en communiquant les codes requis et que, lors de son audition du 25 septembre 2025, il a consenti à ce qu’un agent de police déverrouille son téléphone portable. Par ailleurs, il n’entretiendrait plus aucun contact avec A.________, et aucune des personnes susceptibles de fournir des renseignements (en particulier F.________, T.________ et K.________) ne l’aurait contacté, que ce soit lors des visites au parloir ou par téléphone. Par ailleurs, les deux téléphones portables du prévenu ont été saisis par les autorités policières, de sorte qu’il ne disposerait plus des numéros de ses amis ou connaissances. Le recourant soutient encore qu’aucune mesure d’instruction complémentaire ne serait envisagée par le Ministère public, pas même l’audition de témoins clés. De ce fait, il n’y aurait aucun risque concret de collusion, puisque toutes les informations seraient déjà en mains des forces de l’ordre. Il serait en outre peu probable que le Ministère public procède à l’audition de consommateurs alors qu’aucune de leur identité ne ressort du dossier. Quant aux applications de trading, le recourant se serait déjà longuement expliqué à leur sujet.</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 modifiée au 1 er janvier 2024 [RO 2023 p. 468, Message concernant la modification du Code de procédure pénale du 28 août 2019 ; FF 2019 p. 6351]). Le placement en détention provisoire peut ainsi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références citées ; TF 1B_132/2022 du 25 mars 2022 consid. 3.1 ; TF 1B_358/2021 du 16 juillet 2021 consid. 4.2).</w:t>
      </w:r>
    </w:p>
    <w:p>
      <w:r>
        <w:rPr>
          <w:b/>
        </w:rPr>
        <w:t>E. 2.3</w:t>
      </w:r>
    </w:p>
    <w:p>
      <w:r>
        <w:t>En l’espèce, le recourant ne conteste pas – à juste titre – l’existence de soupçons suffisants de commission d’un crime ou d’un délit. Ces éléments doivent quoi qu’il en soit être retenus pour les motifs exposés par le Tribunal des mesures de contrainte (cf. supra let. B/c). Par ailleurs, on ne peut que considérer que le recourant présente un risque concret de collusion. En effet, si l’intéressé a certes reconnu quelques ventes, il semble contester s’être adonné à un trafic de grande ampleur et ses déclarations ne concordent pas avec les éléments d’enquête qui ont été recueillis à ce stade. Des mesures d’instruction sont toujours en cours, notamment l’analyse des données des deux téléphones portables saisis en possession du recourant lors de son interpellation, ainsi que des données relatives aux nombreuses applications de cryptomonnaie, qui n’ont pas encore pu être analysées entièrement par les enquêteurs. Par ailleurs, le fournisseur et partenaire d’affaires du recourant, A.________, n’a pas encore pu être localisé et interpellé, et le lieu de stockage des produits cannabiques litigieux n’a pas encore été identifié. L’enquête n’en est qu’à ses débuts, étant rappelé que l’instruction n’est ouverte que depuis quatre mois. Compte tenu des dénégations du recourant, il est concrètement à craindre qu’il ne mette sa liberté à profit pour compromettre la recherche de la vérité en faisant disparaître ou en altérant les preuves, ou en prenant contact avec des personnes impliquées – clients ou fournisseurs en particulier –, notamment pour les informer de la procédure en cours ou pour tenter d’influencer leurs déclarations. Les griefs du recourant – pour autant qu’ils remplissent les exigences de motivation déduites de l’art. 385 al. 1 CPP, dès lors qu’ils consistent à réaffirmer ce qu’il avait exposé dans ses déterminations du 26 septembre 2025, en faisant abstraction du raisonnement de l’autorité intimée – doivent donc être rejetés. Dans la mesure où les conditions de l’art. 221 CPP sont alternatives (TF 7B_618/2024 du 25 juin 2024 consid. 3.3), l’existence de soupçons suffisants couplée à un risque de collusion suffisent à admettre le bien-fondé de la détention et dispensent la Chambre de céans d’examiner si la détention provisoire s’impose également en raison notamment du risque de fuite retenu par l’autorité intimée.</w:t>
      </w:r>
    </w:p>
    <w:p>
      <w:r>
        <w:rPr>
          <w:b/>
        </w:rPr>
        <w:t>E. 3.1</w:t>
      </w:r>
    </w:p>
    <w:p>
      <w:r>
        <w:t>Le recourant soutient encore que les mesures de substitution proposées seraient susceptibles de pallier les risques retenus, dont le risque de collusion.</w:t>
      </w:r>
    </w:p>
    <w:p>
      <w:r>
        <w:rPr>
          <w:b/>
        </w:rPr>
        <w:t>E. 3.2</w:t>
      </w:r>
    </w:p>
    <w:p>
      <w:r>
        <w:t>Conformément au principe de la proportionnalité ancré à l'art.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si ces mesures permettent d'atteindre le même but que la détention. En vertu de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 liste de l'art. 237 al. 2 CPP est exemplative et le juge de la détention peut également, le cas échéant, assortir les mesures de substitution de toute condition propre à en garantir l'efficacité (ATF 145 IV 503 consid. 3.1 ; TF 7B_571/2024 du 6 juin 2024 consid. 3.1.2 ; TF 7B_168/2024 du 4 mars 2024 consid. 5.2).</w:t>
      </w:r>
    </w:p>
    <w:p>
      <w:r>
        <w:rPr>
          <w:b/>
        </w:rPr>
        <w:t>E. 3.3</w:t>
      </w:r>
    </w:p>
    <w:p>
      <w:r>
        <w:t>En l’espèce, le Tribunal des mesures de contrainte a développé une motivation sur l’absence de mesures de substitution propres à pallier le risque de collusion notamment. Il a précisé, pour chaque mesure proposée par le recourant, en quoi celle-ci ne serait pas suffisante (cf. supra let. B/c). Son appréciation ne prête pas le flanc à la critique et ne peut qu’être confirmée, dès lors qu’elle correspond à la jurisprudence constante du Tribunal fédéral en la matière. En particulier, l’interdiction de contacter, par quelque moyen que ce soit, les personnes concernées par la présente procédure, soit notamment T.________, F.________, K.________ et A.________ et l’interdiction de parler de l’affaire avec quiconque, hormis son avocat, sont des mesures impropres à pallier le risque de collusion retenu compte tenu de son intensité, d’une part, et du fait qu’elles ne reposeraient que sur la volonté du recourant de s’y soumettre, ce qui est insuffisant (cf. notamment ATF 145 IV 503 consid. 3.3). Par ailleurs, comme l’a relevé à juste titre le Tribunal des mesures de contrainte, le respect de ces mesures serait difficilement vérifiable par la direction de la procédure, pour ne pas dire invérifiable. Quant à l’interdiction de se rendre au lieu de son interpellation, soit chez T.________, cette mesure est manifestement insuffisante puisque, d’une part, elle ne permettrait pas de prévenir le risque de collusion à l’égard de toutes les autres personnes qui ne sont pas domiciliées à cette adresse et qui sont aussi concernées par la procédure et, d’autre part, il serait loisible au recourant de contacter T.________ par d’autres biais.</w:t>
      </w:r>
    </w:p>
    <w:p>
      <w:r>
        <w:rPr>
          <w:b/>
        </w:rPr>
        <w:t>E. 4</w:t>
      </w:r>
    </w:p>
    <w:p>
      <w:r>
        <w:t>Dans une conclusion subsidiaire, le recourant requiert que la détention provisoire soit ordonnée pour une durée maximum d’un mois, soit jusqu’au 1 er novembre 2025, mais ne développe aucun grief à l’égard du raisonnement déployé par l’autorité intimée s’agissant de la durée de la détention au regard du principe de proportionnalité. A supposer qu’il y ait là un grief recevable, on relèvera, d’une part, qu’au vu des mesures d’instruction qui doivent encore être menées à terme, des opérations de clôture à effectuer, puis, cas échéant, des opérations en vue du renvoi du prévenu devant le tribunal compétent et, d’autre part, de la gravité des faits reprochés, respectivement de la peine concrète encourue en cas de condamnation, la durée de la détention provisoire, fixée à trois mois, s’avère proportionnée.</w:t>
      </w:r>
    </w:p>
    <w:p>
      <w:r>
        <w:rPr>
          <w:b/>
        </w:rPr>
        <w:t>E. 5</w:t>
      </w:r>
    </w:p>
    <w:p>
      <w:r>
        <w:t>En définitive, le recours doit être rejeté sans échange d’écritures (art. 390 al. 2 CPP), et l’ordonnance entreprise confirmée. Compte tenu de la nature de l’affaire et de l’acte de recours déposé, l’indemnité d’office allouée à Me Stéfanie Brun doit être fixée à 720 fr., correspondant à une activité nécessaire d'avocat breveté de 4 heures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et la TVA au taux de 8,1 % sur le tout, par 59 fr. 49, soit à 794 fr. au total en chiffres arrondis. Vu le sort du recours, les frais de la présente procédure, constitués de l’émolument d’arrêt, par 1’320 fr. (art. 20 al. 1 TFIP), et des frais imputables à la défense d’office, par 794 fr.,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27 septembre 2025 est confirmée. III. L’indemnité allouée à Me Stéfanie Brun, défenseur d’office de Z.________, est fixée à 794 fr. (sept cent nonante-quatre francs). IV. Les frais d’arrêt, par 1’320 fr. (mille trois cent vingt francs), ainsi que l’indemnité allouée à Me Stéfanie Brun, par 794 fr. (sept cent nonante-quatre francs), sont mis à la charge de Z.________. V. Le remboursement à l’Etat de l’indemnité allouée au chiffre III ci-dessus sera exigible de Z.________ dès que sa situation financière le permettra. VI. L’arrêt est exécutoire. La vice-présidente : La greffière : Du Le présent arrêt, dont la rédaction a été approuvée à huis clos, est notifié, par l'envoi d'une copie complète, à : - Me Stéfanie Brun, avocate (pour Z.________),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